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B4257" w14:textId="77777777" w:rsidR="00CC2559" w:rsidRDefault="00CC2559">
      <w:pPr>
        <w:rPr>
          <w:vanish/>
          <w:sz w:val="6"/>
        </w:rPr>
      </w:pPr>
    </w:p>
    <w:p w14:paraId="432CFD4A" w14:textId="77777777" w:rsidR="00CC2559" w:rsidRDefault="0037085D">
      <w:r>
        <w:rPr>
          <w:b/>
          <w:bCs/>
          <w:sz w:val="22"/>
        </w:rPr>
        <w:t>Nachtrag zum Gesetz über den Finanzausgleich</w:t>
      </w:r>
    </w:p>
    <w:p w14:paraId="2FFDD920" w14:textId="77777777" w:rsidR="00CC2559" w:rsidRDefault="00CC2559"/>
    <w:p w14:paraId="387F60EA" w14:textId="77777777" w:rsidR="00CC2559" w:rsidRDefault="0037085D">
      <w:pPr>
        <w:pStyle w:val="ZusammenfassungEinleitung"/>
      </w:pPr>
      <w:r>
        <w:t>Von diesem Geschäft tangierte Erlasse (</w:t>
      </w:r>
      <w:proofErr w:type="gramStart"/>
      <w:r>
        <w:t>GDB Nummern</w:t>
      </w:r>
      <w:proofErr w:type="gramEnd"/>
      <w:r>
        <w:t>)</w:t>
      </w:r>
    </w:p>
    <w:p w14:paraId="09B5C502" w14:textId="77777777" w:rsidR="00CC2559" w:rsidRDefault="0037085D">
      <w:pPr>
        <w:pStyle w:val="ZusammenfassungneueErlasse"/>
      </w:pPr>
      <w:r>
        <w:t>Neu:</w:t>
      </w:r>
      <w:r>
        <w:tab/>
        <w:t>–</w:t>
      </w:r>
    </w:p>
    <w:p w14:paraId="1D538298" w14:textId="77777777" w:rsidR="00CC2559" w:rsidRDefault="0037085D">
      <w:pPr>
        <w:pStyle w:val="ZusammenfassunggenderteErlasse"/>
      </w:pPr>
      <w:r>
        <w:t>Geändert:</w:t>
      </w:r>
      <w:r>
        <w:tab/>
      </w:r>
      <w:r>
        <w:rPr>
          <w:rStyle w:val="ZusammenfassungHauptnderung"/>
        </w:rPr>
        <w:t>630.1</w:t>
      </w:r>
    </w:p>
    <w:p w14:paraId="27C5C2C8" w14:textId="77777777" w:rsidR="00CC2559" w:rsidRDefault="0037085D">
      <w:pPr>
        <w:pStyle w:val="ZusammenfassungaufgehobeneErlasse"/>
      </w:pPr>
      <w:r>
        <w:t>Aufgehoben:</w:t>
      </w:r>
      <w:r>
        <w:tab/>
        <w:t>–</w:t>
      </w:r>
    </w:p>
    <w:tbl>
      <w:tblPr>
        <w:tblW w:w="0" w:type="auto"/>
        <w:tblLayout w:type="fixed"/>
        <w:tblCellMar>
          <w:top w:w="108" w:type="dxa"/>
          <w:bottom w:w="108" w:type="dxa"/>
        </w:tblCellMar>
        <w:tblLook w:val="04A0" w:firstRow="1" w:lastRow="0" w:firstColumn="1" w:lastColumn="0" w:noHBand="0" w:noVBand="1"/>
      </w:tblPr>
      <w:tblGrid>
        <w:gridCol w:w="4951"/>
        <w:gridCol w:w="4951"/>
        <w:gridCol w:w="4952"/>
      </w:tblGrid>
      <w:tr w:rsidR="00CC2559" w14:paraId="21CE9B64" w14:textId="77777777">
        <w:trPr>
          <w:tblHeader/>
        </w:trPr>
        <w:tc>
          <w:tcPr>
            <w:tcW w:w="4951" w:type="dxa"/>
            <w:tcBorders>
              <w:top w:val="single" w:sz="4" w:space="0" w:color="000000"/>
              <w:left w:val="single" w:sz="4" w:space="0" w:color="000000"/>
              <w:bottom w:val="single" w:sz="4" w:space="0" w:color="000000"/>
            </w:tcBorders>
            <w:shd w:val="clear" w:color="auto" w:fill="E0E0E0"/>
            <w:vAlign w:val="center"/>
          </w:tcPr>
          <w:p w14:paraId="68CE4A05" w14:textId="77777777" w:rsidR="00CC2559" w:rsidRDefault="0037085D">
            <w:pPr>
              <w:pStyle w:val="TableContents"/>
            </w:pPr>
            <w:r>
              <w:rPr>
                <w:b/>
                <w:sz w:val="22"/>
              </w:rPr>
              <w:t>Geltendes Recht</w:t>
            </w:r>
          </w:p>
        </w:tc>
        <w:tc>
          <w:tcPr>
            <w:tcW w:w="4951" w:type="dxa"/>
            <w:tcBorders>
              <w:top w:val="single" w:sz="4" w:space="0" w:color="000000"/>
              <w:left w:val="single" w:sz="4" w:space="0" w:color="000000"/>
              <w:bottom w:val="single" w:sz="4" w:space="0" w:color="000000"/>
            </w:tcBorders>
            <w:shd w:val="clear" w:color="auto" w:fill="E0E0E0"/>
            <w:vAlign w:val="center"/>
          </w:tcPr>
          <w:p w14:paraId="4CFA9A13" w14:textId="77777777" w:rsidR="00CC2559" w:rsidRDefault="0037085D">
            <w:pPr>
              <w:pStyle w:val="TableContents"/>
            </w:pPr>
            <w:r>
              <w:rPr>
                <w:b/>
                <w:sz w:val="22"/>
              </w:rPr>
              <w:t>Vernehmlassungsvorlage des Regierungsrats vom 30. Januar 2024</w:t>
            </w:r>
          </w:p>
        </w:tc>
        <w:tc>
          <w:tcPr>
            <w:tcW w:w="495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4F5B932" w14:textId="77777777" w:rsidR="00CC2559" w:rsidRDefault="0037085D">
            <w:pPr>
              <w:pStyle w:val="TableContents"/>
            </w:pPr>
            <w:r>
              <w:rPr>
                <w:b/>
                <w:sz w:val="22"/>
              </w:rPr>
              <w:t>Notizen</w:t>
            </w:r>
          </w:p>
        </w:tc>
      </w:tr>
      <w:tr w:rsidR="00CC2559" w14:paraId="05F25A5E" w14:textId="77777777">
        <w:tc>
          <w:tcPr>
            <w:tcW w:w="4951" w:type="dxa"/>
            <w:tcBorders>
              <w:top w:val="single" w:sz="4" w:space="0" w:color="000000"/>
              <w:left w:val="single" w:sz="4" w:space="0" w:color="000000"/>
            </w:tcBorders>
            <w:shd w:val="clear" w:color="auto" w:fill="auto"/>
          </w:tcPr>
          <w:p w14:paraId="0E2C1835" w14:textId="77777777" w:rsidR="00CC2559" w:rsidRDefault="00CC2559">
            <w:pPr>
              <w:pStyle w:val="TableContents"/>
              <w:rPr>
                <w:sz w:val="22"/>
              </w:rPr>
            </w:pPr>
          </w:p>
        </w:tc>
        <w:tc>
          <w:tcPr>
            <w:tcW w:w="4951" w:type="dxa"/>
            <w:tcBorders>
              <w:top w:val="single" w:sz="4" w:space="0" w:color="000000"/>
              <w:left w:val="single" w:sz="4" w:space="0" w:color="000000"/>
            </w:tcBorders>
            <w:shd w:val="clear" w:color="auto" w:fill="auto"/>
          </w:tcPr>
          <w:p w14:paraId="4CA96AAA" w14:textId="77777777" w:rsidR="00CC2559" w:rsidRDefault="0037085D">
            <w:pPr>
              <w:pStyle w:val="TableContents"/>
            </w:pPr>
            <w:r>
              <w:rPr>
                <w:b/>
                <w:bCs/>
                <w:sz w:val="22"/>
              </w:rPr>
              <w:t>Finanzausgleichsgesetz</w:t>
            </w:r>
            <w:r>
              <w:rPr>
                <w:b/>
                <w:bCs/>
                <w:sz w:val="22"/>
              </w:rPr>
              <w:br/>
              <w:t>(</w:t>
            </w:r>
            <w:proofErr w:type="spellStart"/>
            <w:r>
              <w:rPr>
                <w:b/>
                <w:bCs/>
                <w:sz w:val="22"/>
              </w:rPr>
              <w:t>FiAG</w:t>
            </w:r>
            <w:proofErr w:type="spellEnd"/>
            <w:r>
              <w:rPr>
                <w:b/>
                <w:bCs/>
                <w:sz w:val="22"/>
              </w:rPr>
              <w:t>)</w:t>
            </w:r>
          </w:p>
        </w:tc>
        <w:tc>
          <w:tcPr>
            <w:tcW w:w="4952" w:type="dxa"/>
            <w:tcBorders>
              <w:top w:val="single" w:sz="4" w:space="0" w:color="000000"/>
              <w:left w:val="single" w:sz="4" w:space="0" w:color="000000"/>
              <w:right w:val="single" w:sz="4" w:space="0" w:color="000000"/>
            </w:tcBorders>
            <w:shd w:val="clear" w:color="auto" w:fill="auto"/>
          </w:tcPr>
          <w:p w14:paraId="1A6DEB8E" w14:textId="77777777" w:rsidR="00CC2559" w:rsidRDefault="0037085D">
            <w:pPr>
              <w:pStyle w:val="TableContents"/>
            </w:pPr>
            <w:r>
              <w:rPr>
                <w:sz w:val="19"/>
              </w:rPr>
              <w:t>     </w:t>
            </w:r>
          </w:p>
        </w:tc>
      </w:tr>
      <w:tr w:rsidR="00CC2559" w14:paraId="61EFA33C" w14:textId="77777777">
        <w:tc>
          <w:tcPr>
            <w:tcW w:w="4951" w:type="dxa"/>
            <w:tcBorders>
              <w:top w:val="single" w:sz="4" w:space="0" w:color="000000"/>
              <w:left w:val="single" w:sz="4" w:space="0" w:color="000000"/>
            </w:tcBorders>
            <w:shd w:val="clear" w:color="auto" w:fill="auto"/>
          </w:tcPr>
          <w:p w14:paraId="3D8168F8" w14:textId="77777777" w:rsidR="00CC2559" w:rsidRDefault="00CC2559">
            <w:pPr>
              <w:pStyle w:val="Autor"/>
            </w:pPr>
          </w:p>
        </w:tc>
        <w:tc>
          <w:tcPr>
            <w:tcW w:w="4951" w:type="dxa"/>
            <w:tcBorders>
              <w:top w:val="single" w:sz="4" w:space="0" w:color="000000"/>
              <w:left w:val="single" w:sz="4" w:space="0" w:color="000000"/>
            </w:tcBorders>
            <w:shd w:val="clear" w:color="auto" w:fill="auto"/>
          </w:tcPr>
          <w:p w14:paraId="28A4BB00" w14:textId="77777777" w:rsidR="00CC2559" w:rsidRDefault="0037085D">
            <w:pPr>
              <w:pStyle w:val="Autor"/>
            </w:pPr>
            <w:r>
              <w:t>Der Kantonsrat des Kantons Obwalden</w:t>
            </w:r>
          </w:p>
        </w:tc>
        <w:tc>
          <w:tcPr>
            <w:tcW w:w="4952" w:type="dxa"/>
            <w:tcBorders>
              <w:top w:val="single" w:sz="4" w:space="0" w:color="000000"/>
              <w:left w:val="single" w:sz="4" w:space="0" w:color="000000"/>
              <w:right w:val="single" w:sz="4" w:space="0" w:color="000000"/>
            </w:tcBorders>
            <w:shd w:val="clear" w:color="auto" w:fill="auto"/>
          </w:tcPr>
          <w:p w14:paraId="52A6BEB9" w14:textId="77777777" w:rsidR="00CC2559" w:rsidRDefault="00CC2559"/>
        </w:tc>
      </w:tr>
      <w:tr w:rsidR="00CC2559" w14:paraId="48767FAE" w14:textId="77777777">
        <w:tc>
          <w:tcPr>
            <w:tcW w:w="4951" w:type="dxa"/>
            <w:tcBorders>
              <w:left w:val="single" w:sz="4" w:space="0" w:color="000000"/>
            </w:tcBorders>
            <w:shd w:val="clear" w:color="auto" w:fill="auto"/>
          </w:tcPr>
          <w:p w14:paraId="41562171" w14:textId="77777777" w:rsidR="00CC2559" w:rsidRDefault="00CC2559">
            <w:pPr>
              <w:pStyle w:val="Aktion"/>
            </w:pPr>
          </w:p>
        </w:tc>
        <w:tc>
          <w:tcPr>
            <w:tcW w:w="4951" w:type="dxa"/>
            <w:tcBorders>
              <w:left w:val="single" w:sz="4" w:space="0" w:color="000000"/>
            </w:tcBorders>
            <w:shd w:val="clear" w:color="auto" w:fill="auto"/>
          </w:tcPr>
          <w:p w14:paraId="204DD46E" w14:textId="77777777" w:rsidR="00CC2559" w:rsidRDefault="0037085D">
            <w:pPr>
              <w:pStyle w:val="Aktion"/>
            </w:pPr>
            <w:r>
              <w:t>beschliesst:</w:t>
            </w:r>
          </w:p>
        </w:tc>
        <w:tc>
          <w:tcPr>
            <w:tcW w:w="4952" w:type="dxa"/>
            <w:tcBorders>
              <w:left w:val="single" w:sz="4" w:space="0" w:color="000000"/>
              <w:right w:val="single" w:sz="4" w:space="0" w:color="000000"/>
            </w:tcBorders>
            <w:shd w:val="clear" w:color="auto" w:fill="auto"/>
          </w:tcPr>
          <w:p w14:paraId="64DB3469" w14:textId="77777777" w:rsidR="00CC2559" w:rsidRDefault="00CC2559"/>
        </w:tc>
      </w:tr>
      <w:tr w:rsidR="00CC2559" w14:paraId="4962397A" w14:textId="77777777">
        <w:tc>
          <w:tcPr>
            <w:tcW w:w="4951" w:type="dxa"/>
            <w:tcBorders>
              <w:top w:val="single" w:sz="4" w:space="0" w:color="000000"/>
              <w:left w:val="single" w:sz="4" w:space="0" w:color="000000"/>
            </w:tcBorders>
            <w:shd w:val="clear" w:color="auto" w:fill="AAFFAA"/>
          </w:tcPr>
          <w:p w14:paraId="050D0065" w14:textId="77777777" w:rsidR="00CC2559" w:rsidRDefault="00CC2559"/>
        </w:tc>
        <w:tc>
          <w:tcPr>
            <w:tcW w:w="4951" w:type="dxa"/>
            <w:tcBorders>
              <w:top w:val="single" w:sz="4" w:space="0" w:color="000000"/>
              <w:left w:val="single" w:sz="4" w:space="0" w:color="000000"/>
            </w:tcBorders>
            <w:shd w:val="clear" w:color="auto" w:fill="AAFFAA"/>
          </w:tcPr>
          <w:p w14:paraId="5ED4CF6C" w14:textId="77777777" w:rsidR="00CC2559" w:rsidRDefault="0037085D">
            <w:pPr>
              <w:pStyle w:val="Abschnittstitel"/>
            </w:pPr>
            <w:r>
              <w:t>I.</w:t>
            </w:r>
          </w:p>
        </w:tc>
        <w:tc>
          <w:tcPr>
            <w:tcW w:w="4952" w:type="dxa"/>
            <w:tcBorders>
              <w:top w:val="single" w:sz="4" w:space="0" w:color="000000"/>
              <w:left w:val="single" w:sz="4" w:space="0" w:color="000000"/>
              <w:right w:val="single" w:sz="4" w:space="0" w:color="000000"/>
            </w:tcBorders>
            <w:shd w:val="clear" w:color="auto" w:fill="AAFFAA"/>
          </w:tcPr>
          <w:p w14:paraId="25264CEF" w14:textId="77777777" w:rsidR="00CC2559" w:rsidRDefault="00CC2559"/>
        </w:tc>
      </w:tr>
      <w:tr w:rsidR="00CC2559" w14:paraId="1FAA548C" w14:textId="77777777">
        <w:tc>
          <w:tcPr>
            <w:tcW w:w="4951" w:type="dxa"/>
            <w:tcBorders>
              <w:top w:val="single" w:sz="4" w:space="0" w:color="000000"/>
              <w:left w:val="single" w:sz="4" w:space="0" w:color="000000"/>
            </w:tcBorders>
            <w:shd w:val="clear" w:color="auto" w:fill="FFFFAA"/>
          </w:tcPr>
          <w:p w14:paraId="5843D031" w14:textId="77777777" w:rsidR="00CC2559" w:rsidRDefault="00CC2559"/>
        </w:tc>
        <w:tc>
          <w:tcPr>
            <w:tcW w:w="4951" w:type="dxa"/>
            <w:tcBorders>
              <w:top w:val="single" w:sz="4" w:space="0" w:color="000000"/>
              <w:left w:val="single" w:sz="4" w:space="0" w:color="000000"/>
            </w:tcBorders>
            <w:shd w:val="clear" w:color="auto" w:fill="FFFFAA"/>
          </w:tcPr>
          <w:p w14:paraId="3C96BD98" w14:textId="77777777" w:rsidR="00CC2559" w:rsidRDefault="0037085D">
            <w:pPr>
              <w:pStyle w:val="Nebenzitat"/>
            </w:pPr>
            <w:r>
              <w:t xml:space="preserve">Der Erlass GDB </w:t>
            </w:r>
            <w:hyperlink r:id="rId6" w:history="1">
              <w:r>
                <w:rPr>
                  <w:rStyle w:val="Hyperlink"/>
                </w:rPr>
                <w:t>630.1</w:t>
              </w:r>
            </w:hyperlink>
            <w:r>
              <w:t xml:space="preserve"> (Finanzausgleichsgesetz [</w:t>
            </w:r>
            <w:proofErr w:type="spellStart"/>
            <w:r>
              <w:t>FiAG</w:t>
            </w:r>
            <w:proofErr w:type="spellEnd"/>
            <w:r>
              <w:t>] vom 24. März 2017) (Stand 1. August 2020) wird wie folgt geändert:</w:t>
            </w:r>
          </w:p>
        </w:tc>
        <w:tc>
          <w:tcPr>
            <w:tcW w:w="4952" w:type="dxa"/>
            <w:tcBorders>
              <w:top w:val="single" w:sz="4" w:space="0" w:color="000000"/>
              <w:left w:val="single" w:sz="4" w:space="0" w:color="000000"/>
              <w:right w:val="single" w:sz="4" w:space="0" w:color="000000"/>
            </w:tcBorders>
            <w:shd w:val="clear" w:color="auto" w:fill="FFFFAA"/>
          </w:tcPr>
          <w:p w14:paraId="7DF4493B" w14:textId="77777777" w:rsidR="00CC2559" w:rsidRDefault="00CC2559"/>
        </w:tc>
      </w:tr>
      <w:tr w:rsidR="00CC2559" w14:paraId="6B00F91F" w14:textId="77777777">
        <w:trPr>
          <w:cantSplit/>
        </w:trPr>
        <w:tc>
          <w:tcPr>
            <w:tcW w:w="4951" w:type="dxa"/>
            <w:tcBorders>
              <w:top w:val="single" w:sz="4" w:space="0" w:color="000000"/>
              <w:left w:val="single" w:sz="4" w:space="0" w:color="000000"/>
            </w:tcBorders>
            <w:shd w:val="clear" w:color="auto" w:fill="auto"/>
          </w:tcPr>
          <w:p w14:paraId="647A38ED" w14:textId="77777777" w:rsidR="00CC2559" w:rsidRDefault="0037085D">
            <w:pPr>
              <w:pStyle w:val="TableContents"/>
            </w:pPr>
            <w:r>
              <w:rPr>
                <w:b/>
                <w:bCs/>
                <w:sz w:val="19"/>
              </w:rPr>
              <w:t>Art.  4</w:t>
            </w:r>
            <w:r>
              <w:rPr>
                <w:sz w:val="19"/>
              </w:rPr>
              <w:br/>
            </w:r>
            <w:r>
              <w:rPr>
                <w:sz w:val="16"/>
              </w:rPr>
              <w:t>Ressourcenpotenzial</w:t>
            </w:r>
          </w:p>
        </w:tc>
        <w:tc>
          <w:tcPr>
            <w:tcW w:w="4951" w:type="dxa"/>
            <w:tcBorders>
              <w:top w:val="single" w:sz="4" w:space="0" w:color="000000"/>
              <w:left w:val="single" w:sz="4" w:space="0" w:color="000000"/>
            </w:tcBorders>
            <w:shd w:val="clear" w:color="auto" w:fill="auto"/>
          </w:tcPr>
          <w:p w14:paraId="3FE6D389" w14:textId="77777777" w:rsidR="00CC2559" w:rsidRDefault="00CC2559">
            <w:pPr>
              <w:pStyle w:val="TableContents"/>
              <w:rPr>
                <w:sz w:val="19"/>
              </w:rPr>
            </w:pPr>
          </w:p>
        </w:tc>
        <w:tc>
          <w:tcPr>
            <w:tcW w:w="4952" w:type="dxa"/>
            <w:tcBorders>
              <w:top w:val="single" w:sz="4" w:space="0" w:color="000000"/>
              <w:left w:val="single" w:sz="4" w:space="0" w:color="000000"/>
              <w:right w:val="single" w:sz="4" w:space="0" w:color="000000"/>
            </w:tcBorders>
            <w:shd w:val="clear" w:color="auto" w:fill="auto"/>
          </w:tcPr>
          <w:p w14:paraId="154DF6C7" w14:textId="77777777" w:rsidR="00CC2559" w:rsidRDefault="00CC2559"/>
        </w:tc>
      </w:tr>
      <w:tr w:rsidR="00CC2559" w14:paraId="7A28B395" w14:textId="77777777">
        <w:trPr>
          <w:cantSplit/>
        </w:trPr>
        <w:tc>
          <w:tcPr>
            <w:tcW w:w="4951" w:type="dxa"/>
            <w:tcBorders>
              <w:left w:val="single" w:sz="4" w:space="0" w:color="000000"/>
            </w:tcBorders>
            <w:shd w:val="clear" w:color="auto" w:fill="auto"/>
          </w:tcPr>
          <w:p w14:paraId="1F620962" w14:textId="77777777" w:rsidR="00CC2559" w:rsidRDefault="0037085D">
            <w:pPr>
              <w:pStyle w:val="TableContents"/>
            </w:pPr>
            <w:r>
              <w:rPr>
                <w:sz w:val="19"/>
                <w:vertAlign w:val="superscript"/>
              </w:rPr>
              <w:t>1</w:t>
            </w:r>
            <w:r>
              <w:rPr>
                <w:sz w:val="19"/>
              </w:rPr>
              <w:t xml:space="preserve"> Zur Feststellung der Unterschiede in der finanziellen </w:t>
            </w:r>
            <w:r>
              <w:rPr>
                <w:sz w:val="19"/>
              </w:rPr>
              <w:t>Leistungsfähigkeit der Einwohnergemeinden wird das Ressourcenpotenzial pro Einwohner berechnet.</w:t>
            </w:r>
          </w:p>
        </w:tc>
        <w:tc>
          <w:tcPr>
            <w:tcW w:w="4951" w:type="dxa"/>
            <w:tcBorders>
              <w:left w:val="single" w:sz="4" w:space="0" w:color="000000"/>
            </w:tcBorders>
            <w:shd w:val="clear" w:color="auto" w:fill="auto"/>
          </w:tcPr>
          <w:p w14:paraId="0F0EB678" w14:textId="77777777" w:rsidR="00CC2559" w:rsidRDefault="0037085D">
            <w:pPr>
              <w:pStyle w:val="TableContents"/>
            </w:pPr>
            <w:r>
              <w:rPr>
                <w:sz w:val="19"/>
                <w:vertAlign w:val="superscript"/>
              </w:rPr>
              <w:t>1</w:t>
            </w:r>
            <w:r>
              <w:rPr>
                <w:sz w:val="19"/>
              </w:rPr>
              <w:t> </w:t>
            </w:r>
            <w:r>
              <w:rPr>
                <w:sz w:val="19"/>
                <w:u w:val="single"/>
              </w:rPr>
              <w:t xml:space="preserve">Das Ressourcenpotenzial einer Einwohnergemeinde entspricht ihren fiskalisch ausschöpfbaren Ressourcen sowie ihren Wasserzinserträgen. </w:t>
            </w:r>
            <w:r>
              <w:rPr>
                <w:sz w:val="19"/>
              </w:rPr>
              <w:t>Zur Feststellung der Unt</w:t>
            </w:r>
            <w:r>
              <w:rPr>
                <w:sz w:val="19"/>
              </w:rPr>
              <w:t>erschiede in der finanziellen Leistungsfähigkeit der Einwohnergemeinden wird das Ressourcenpotenzial pro Einwohner berechnet.</w:t>
            </w:r>
          </w:p>
        </w:tc>
        <w:tc>
          <w:tcPr>
            <w:tcW w:w="4952" w:type="dxa"/>
            <w:tcBorders>
              <w:left w:val="single" w:sz="4" w:space="0" w:color="000000"/>
              <w:right w:val="single" w:sz="4" w:space="0" w:color="000000"/>
            </w:tcBorders>
            <w:shd w:val="clear" w:color="auto" w:fill="auto"/>
          </w:tcPr>
          <w:p w14:paraId="427AC01B" w14:textId="77777777" w:rsidR="00CC2559" w:rsidRDefault="00CC2559"/>
        </w:tc>
      </w:tr>
      <w:tr w:rsidR="00CC2559" w14:paraId="1EC5CFDB" w14:textId="77777777">
        <w:trPr>
          <w:cantSplit/>
        </w:trPr>
        <w:tc>
          <w:tcPr>
            <w:tcW w:w="4951" w:type="dxa"/>
            <w:tcBorders>
              <w:left w:val="single" w:sz="4" w:space="0" w:color="000000"/>
            </w:tcBorders>
            <w:shd w:val="clear" w:color="auto" w:fill="auto"/>
          </w:tcPr>
          <w:p w14:paraId="067E4AED" w14:textId="77777777" w:rsidR="00CC2559" w:rsidRDefault="0037085D">
            <w:pPr>
              <w:pStyle w:val="TableContents"/>
            </w:pPr>
            <w:r>
              <w:rPr>
                <w:sz w:val="19"/>
                <w:vertAlign w:val="superscript"/>
              </w:rPr>
              <w:t>2</w:t>
            </w:r>
            <w:r>
              <w:rPr>
                <w:sz w:val="19"/>
              </w:rPr>
              <w:t xml:space="preserve"> Die Basis für die Berechnung des Ressourcenpotenzials einer Einwohnergemeinde bildet der Ertrag der einfachen Steuer aus </w:t>
            </w:r>
            <w:r>
              <w:rPr>
                <w:sz w:val="19"/>
              </w:rPr>
              <w:t>der Einkommens-, der Vermögens- und der Nebensteuern wie Grundstückgewinn- und Handänderungssteuern sowie der Gewinn- und Kapitalsteuern des Kantons.</w:t>
            </w:r>
          </w:p>
        </w:tc>
        <w:tc>
          <w:tcPr>
            <w:tcW w:w="4951" w:type="dxa"/>
            <w:tcBorders>
              <w:left w:val="single" w:sz="4" w:space="0" w:color="000000"/>
            </w:tcBorders>
            <w:shd w:val="clear" w:color="auto" w:fill="auto"/>
          </w:tcPr>
          <w:p w14:paraId="360D19E0" w14:textId="77777777" w:rsidR="00CC2559" w:rsidRDefault="0037085D">
            <w:pPr>
              <w:pStyle w:val="TableContents"/>
            </w:pPr>
            <w:r>
              <w:rPr>
                <w:sz w:val="19"/>
                <w:vertAlign w:val="superscript"/>
              </w:rPr>
              <w:t>2</w:t>
            </w:r>
            <w:r>
              <w:rPr>
                <w:sz w:val="19"/>
              </w:rPr>
              <w:t> </w:t>
            </w:r>
            <w:r>
              <w:rPr>
                <w:strike/>
                <w:sz w:val="19"/>
              </w:rPr>
              <w:t xml:space="preserve">Die Basis für die Berechnung des Ressourcenpotenzials einer Einwohnergemeinde bildet </w:t>
            </w:r>
            <w:r>
              <w:rPr>
                <w:sz w:val="19"/>
              </w:rPr>
              <w:t>​</w:t>
            </w:r>
            <w:r>
              <w:rPr>
                <w:sz w:val="19"/>
                <w:u w:val="single"/>
              </w:rPr>
              <w:t>Das Ressourcenpote</w:t>
            </w:r>
            <w:r>
              <w:rPr>
                <w:sz w:val="19"/>
                <w:u w:val="single"/>
              </w:rPr>
              <w:t xml:space="preserve">nzial wird berechnet auf </w:t>
            </w:r>
            <w:r>
              <w:rPr>
                <w:sz w:val="19"/>
              </w:rPr>
              <w:t xml:space="preserve">der </w:t>
            </w:r>
            <w:r>
              <w:rPr>
                <w:strike/>
                <w:sz w:val="19"/>
              </w:rPr>
              <w:t>Ertrag der einfachen Steuer aus der Einkommens-, der Vermögens- und der Nebensteuern wie Grundstückgewinn- und Handänderungssteuern sowie der Gewinn- und Kapitalsteuern des Kantons.</w:t>
            </w:r>
            <w:r>
              <w:rPr>
                <w:sz w:val="19"/>
              </w:rPr>
              <w:t>​</w:t>
            </w:r>
            <w:r>
              <w:rPr>
                <w:sz w:val="19"/>
                <w:u w:val="single"/>
              </w:rPr>
              <w:t>Grundlage:</w:t>
            </w:r>
          </w:p>
        </w:tc>
        <w:tc>
          <w:tcPr>
            <w:tcW w:w="4952" w:type="dxa"/>
            <w:tcBorders>
              <w:left w:val="single" w:sz="4" w:space="0" w:color="000000"/>
              <w:right w:val="single" w:sz="4" w:space="0" w:color="000000"/>
            </w:tcBorders>
            <w:shd w:val="clear" w:color="auto" w:fill="auto"/>
          </w:tcPr>
          <w:p w14:paraId="2FA66D8F" w14:textId="77777777" w:rsidR="00CC2559" w:rsidRDefault="00CC2559"/>
        </w:tc>
      </w:tr>
      <w:tr w:rsidR="00CC2559" w14:paraId="7193F837" w14:textId="77777777">
        <w:trPr>
          <w:cantSplit/>
        </w:trPr>
        <w:tc>
          <w:tcPr>
            <w:tcW w:w="4951" w:type="dxa"/>
            <w:tcBorders>
              <w:left w:val="single" w:sz="4" w:space="0" w:color="000000"/>
            </w:tcBorders>
            <w:shd w:val="clear" w:color="auto" w:fill="auto"/>
          </w:tcPr>
          <w:p w14:paraId="25C3D449" w14:textId="77777777" w:rsidR="00CC2559" w:rsidRDefault="00CC2559">
            <w:pPr>
              <w:pStyle w:val="TableContents"/>
              <w:ind w:left="149" w:right="3" w:hanging="189"/>
              <w:rPr>
                <w:sz w:val="19"/>
              </w:rPr>
            </w:pPr>
          </w:p>
        </w:tc>
        <w:tc>
          <w:tcPr>
            <w:tcW w:w="4951" w:type="dxa"/>
            <w:tcBorders>
              <w:left w:val="single" w:sz="4" w:space="0" w:color="000000"/>
            </w:tcBorders>
            <w:shd w:val="clear" w:color="auto" w:fill="auto"/>
          </w:tcPr>
          <w:p w14:paraId="64B3B22F" w14:textId="77777777" w:rsidR="00CC2559" w:rsidRDefault="0037085D">
            <w:pPr>
              <w:pStyle w:val="TableContents"/>
              <w:ind w:left="149" w:right="3" w:hanging="189"/>
            </w:pPr>
            <w:r>
              <w:rPr>
                <w:sz w:val="19"/>
              </w:rPr>
              <w:t xml:space="preserve">a. der Einkommens- und </w:t>
            </w:r>
            <w:r>
              <w:rPr>
                <w:sz w:val="19"/>
              </w:rPr>
              <w:t>Vermögenssteuern der natürlichen Personen gemäss einfacher Kantonssteuer (einschliesslich Aufwandsteuern und Nachsteuern);</w:t>
            </w:r>
          </w:p>
        </w:tc>
        <w:tc>
          <w:tcPr>
            <w:tcW w:w="4952" w:type="dxa"/>
            <w:tcBorders>
              <w:left w:val="single" w:sz="4" w:space="0" w:color="000000"/>
              <w:right w:val="single" w:sz="4" w:space="0" w:color="000000"/>
            </w:tcBorders>
            <w:shd w:val="clear" w:color="auto" w:fill="auto"/>
          </w:tcPr>
          <w:p w14:paraId="5CC7A1B8" w14:textId="77777777" w:rsidR="00CC2559" w:rsidRDefault="00CC2559"/>
        </w:tc>
      </w:tr>
      <w:tr w:rsidR="00CC2559" w14:paraId="585EB527" w14:textId="77777777">
        <w:trPr>
          <w:cantSplit/>
        </w:trPr>
        <w:tc>
          <w:tcPr>
            <w:tcW w:w="4951" w:type="dxa"/>
            <w:tcBorders>
              <w:left w:val="single" w:sz="4" w:space="0" w:color="000000"/>
            </w:tcBorders>
            <w:shd w:val="clear" w:color="auto" w:fill="auto"/>
          </w:tcPr>
          <w:p w14:paraId="54A65728" w14:textId="77777777" w:rsidR="00CC2559" w:rsidRDefault="00CC2559">
            <w:pPr>
              <w:pStyle w:val="TableContents"/>
              <w:ind w:left="149" w:right="3" w:hanging="189"/>
              <w:rPr>
                <w:sz w:val="19"/>
              </w:rPr>
            </w:pPr>
          </w:p>
        </w:tc>
        <w:tc>
          <w:tcPr>
            <w:tcW w:w="4951" w:type="dxa"/>
            <w:tcBorders>
              <w:left w:val="single" w:sz="4" w:space="0" w:color="000000"/>
            </w:tcBorders>
            <w:shd w:val="clear" w:color="auto" w:fill="auto"/>
          </w:tcPr>
          <w:p w14:paraId="0C6A7911" w14:textId="77777777" w:rsidR="00CC2559" w:rsidRDefault="0037085D">
            <w:pPr>
              <w:pStyle w:val="TableContents"/>
              <w:ind w:left="149" w:right="3" w:hanging="189"/>
            </w:pPr>
            <w:r>
              <w:rPr>
                <w:sz w:val="19"/>
              </w:rPr>
              <w:t>b. der einfachen Steuer auf Kapitalleistungen aus Vorsorge;</w:t>
            </w:r>
          </w:p>
        </w:tc>
        <w:tc>
          <w:tcPr>
            <w:tcW w:w="4952" w:type="dxa"/>
            <w:tcBorders>
              <w:left w:val="single" w:sz="4" w:space="0" w:color="000000"/>
              <w:right w:val="single" w:sz="4" w:space="0" w:color="000000"/>
            </w:tcBorders>
            <w:shd w:val="clear" w:color="auto" w:fill="auto"/>
          </w:tcPr>
          <w:p w14:paraId="6BB34B5A" w14:textId="77777777" w:rsidR="00CC2559" w:rsidRDefault="00CC2559"/>
        </w:tc>
      </w:tr>
      <w:tr w:rsidR="00CC2559" w14:paraId="11C5D878" w14:textId="77777777">
        <w:trPr>
          <w:cantSplit/>
        </w:trPr>
        <w:tc>
          <w:tcPr>
            <w:tcW w:w="4951" w:type="dxa"/>
            <w:tcBorders>
              <w:left w:val="single" w:sz="4" w:space="0" w:color="000000"/>
            </w:tcBorders>
            <w:shd w:val="clear" w:color="auto" w:fill="auto"/>
          </w:tcPr>
          <w:p w14:paraId="445883F1" w14:textId="77777777" w:rsidR="00CC2559" w:rsidRDefault="00CC2559">
            <w:pPr>
              <w:pStyle w:val="TableContents"/>
              <w:ind w:left="149" w:right="3" w:hanging="189"/>
              <w:rPr>
                <w:sz w:val="19"/>
              </w:rPr>
            </w:pPr>
          </w:p>
        </w:tc>
        <w:tc>
          <w:tcPr>
            <w:tcW w:w="4951" w:type="dxa"/>
            <w:tcBorders>
              <w:left w:val="single" w:sz="4" w:space="0" w:color="000000"/>
            </w:tcBorders>
            <w:shd w:val="clear" w:color="auto" w:fill="auto"/>
          </w:tcPr>
          <w:p w14:paraId="12CA882D" w14:textId="77777777" w:rsidR="00CC2559" w:rsidRDefault="0037085D">
            <w:pPr>
              <w:pStyle w:val="TableContents"/>
              <w:ind w:left="149" w:right="3" w:hanging="189"/>
            </w:pPr>
            <w:r>
              <w:rPr>
                <w:sz w:val="19"/>
              </w:rPr>
              <w:t>c. der Grundstückgewinnsteuern der natürlichen Personen gemäss einf</w:t>
            </w:r>
            <w:r>
              <w:rPr>
                <w:sz w:val="19"/>
              </w:rPr>
              <w:t>acher Kantonssteuer;</w:t>
            </w:r>
          </w:p>
        </w:tc>
        <w:tc>
          <w:tcPr>
            <w:tcW w:w="4952" w:type="dxa"/>
            <w:tcBorders>
              <w:left w:val="single" w:sz="4" w:space="0" w:color="000000"/>
              <w:right w:val="single" w:sz="4" w:space="0" w:color="000000"/>
            </w:tcBorders>
            <w:shd w:val="clear" w:color="auto" w:fill="auto"/>
          </w:tcPr>
          <w:p w14:paraId="7ED6CEBB" w14:textId="77777777" w:rsidR="00CC2559" w:rsidRDefault="00CC2559"/>
        </w:tc>
      </w:tr>
      <w:tr w:rsidR="00CC2559" w14:paraId="5E244356" w14:textId="77777777">
        <w:trPr>
          <w:cantSplit/>
        </w:trPr>
        <w:tc>
          <w:tcPr>
            <w:tcW w:w="4951" w:type="dxa"/>
            <w:tcBorders>
              <w:left w:val="single" w:sz="4" w:space="0" w:color="000000"/>
            </w:tcBorders>
            <w:shd w:val="clear" w:color="auto" w:fill="auto"/>
          </w:tcPr>
          <w:p w14:paraId="6E0E22DF" w14:textId="77777777" w:rsidR="00CC2559" w:rsidRDefault="00CC2559">
            <w:pPr>
              <w:pStyle w:val="TableContents"/>
              <w:ind w:left="149" w:right="3" w:hanging="189"/>
              <w:rPr>
                <w:sz w:val="19"/>
              </w:rPr>
            </w:pPr>
          </w:p>
        </w:tc>
        <w:tc>
          <w:tcPr>
            <w:tcW w:w="4951" w:type="dxa"/>
            <w:tcBorders>
              <w:left w:val="single" w:sz="4" w:space="0" w:color="000000"/>
            </w:tcBorders>
            <w:shd w:val="clear" w:color="auto" w:fill="auto"/>
          </w:tcPr>
          <w:p w14:paraId="2F5CB674" w14:textId="77777777" w:rsidR="00CC2559" w:rsidRDefault="0037085D">
            <w:pPr>
              <w:pStyle w:val="TableContents"/>
              <w:ind w:left="149" w:right="3" w:hanging="189"/>
            </w:pPr>
            <w:r>
              <w:rPr>
                <w:sz w:val="19"/>
              </w:rPr>
              <w:t>d. der Quellensteuern gemäss einfacher Kantonssteuer;</w:t>
            </w:r>
          </w:p>
        </w:tc>
        <w:tc>
          <w:tcPr>
            <w:tcW w:w="4952" w:type="dxa"/>
            <w:tcBorders>
              <w:left w:val="single" w:sz="4" w:space="0" w:color="000000"/>
              <w:right w:val="single" w:sz="4" w:space="0" w:color="000000"/>
            </w:tcBorders>
            <w:shd w:val="clear" w:color="auto" w:fill="auto"/>
          </w:tcPr>
          <w:p w14:paraId="12D05A48" w14:textId="77777777" w:rsidR="00CC2559" w:rsidRDefault="00CC2559"/>
        </w:tc>
      </w:tr>
      <w:tr w:rsidR="00CC2559" w14:paraId="4F86A213" w14:textId="77777777">
        <w:trPr>
          <w:cantSplit/>
        </w:trPr>
        <w:tc>
          <w:tcPr>
            <w:tcW w:w="4951" w:type="dxa"/>
            <w:tcBorders>
              <w:left w:val="single" w:sz="4" w:space="0" w:color="000000"/>
            </w:tcBorders>
            <w:shd w:val="clear" w:color="auto" w:fill="auto"/>
          </w:tcPr>
          <w:p w14:paraId="30382983" w14:textId="77777777" w:rsidR="00CC2559" w:rsidRDefault="00CC2559">
            <w:pPr>
              <w:pStyle w:val="TableContents"/>
              <w:ind w:left="149" w:right="3" w:hanging="189"/>
              <w:rPr>
                <w:sz w:val="19"/>
              </w:rPr>
            </w:pPr>
          </w:p>
        </w:tc>
        <w:tc>
          <w:tcPr>
            <w:tcW w:w="4951" w:type="dxa"/>
            <w:tcBorders>
              <w:left w:val="single" w:sz="4" w:space="0" w:color="000000"/>
            </w:tcBorders>
            <w:shd w:val="clear" w:color="auto" w:fill="auto"/>
          </w:tcPr>
          <w:p w14:paraId="759D5650" w14:textId="77777777" w:rsidR="00CC2559" w:rsidRDefault="0037085D">
            <w:pPr>
              <w:pStyle w:val="TableContents"/>
              <w:ind w:left="149" w:right="3" w:hanging="189"/>
            </w:pPr>
            <w:r>
              <w:rPr>
                <w:sz w:val="19"/>
              </w:rPr>
              <w:t>e. der Handänderungssteuern;</w:t>
            </w:r>
          </w:p>
        </w:tc>
        <w:tc>
          <w:tcPr>
            <w:tcW w:w="4952" w:type="dxa"/>
            <w:tcBorders>
              <w:left w:val="single" w:sz="4" w:space="0" w:color="000000"/>
              <w:right w:val="single" w:sz="4" w:space="0" w:color="000000"/>
            </w:tcBorders>
            <w:shd w:val="clear" w:color="auto" w:fill="auto"/>
          </w:tcPr>
          <w:p w14:paraId="30051F18" w14:textId="77777777" w:rsidR="00CC2559" w:rsidRDefault="00CC2559"/>
        </w:tc>
      </w:tr>
      <w:tr w:rsidR="00CC2559" w14:paraId="66633573" w14:textId="77777777">
        <w:trPr>
          <w:cantSplit/>
        </w:trPr>
        <w:tc>
          <w:tcPr>
            <w:tcW w:w="4951" w:type="dxa"/>
            <w:tcBorders>
              <w:left w:val="single" w:sz="4" w:space="0" w:color="000000"/>
            </w:tcBorders>
            <w:shd w:val="clear" w:color="auto" w:fill="auto"/>
          </w:tcPr>
          <w:p w14:paraId="7B04A23E" w14:textId="77777777" w:rsidR="00CC2559" w:rsidRDefault="00CC2559">
            <w:pPr>
              <w:pStyle w:val="TableContents"/>
              <w:ind w:left="149" w:right="3" w:hanging="189"/>
              <w:rPr>
                <w:sz w:val="19"/>
              </w:rPr>
            </w:pPr>
          </w:p>
        </w:tc>
        <w:tc>
          <w:tcPr>
            <w:tcW w:w="4951" w:type="dxa"/>
            <w:tcBorders>
              <w:left w:val="single" w:sz="4" w:space="0" w:color="000000"/>
            </w:tcBorders>
            <w:shd w:val="clear" w:color="auto" w:fill="auto"/>
          </w:tcPr>
          <w:p w14:paraId="7BD12193" w14:textId="77777777" w:rsidR="00CC2559" w:rsidRDefault="0037085D">
            <w:pPr>
              <w:pStyle w:val="TableContents"/>
              <w:ind w:left="149" w:right="3" w:hanging="189"/>
            </w:pPr>
            <w:r>
              <w:rPr>
                <w:sz w:val="19"/>
              </w:rPr>
              <w:t>f. der Gewinn- und Kapitalsteuern der juristischen Personen (einschliesslich Nachsteuern und Grundstückgewinnsteuern);</w:t>
            </w:r>
          </w:p>
        </w:tc>
        <w:tc>
          <w:tcPr>
            <w:tcW w:w="4952" w:type="dxa"/>
            <w:tcBorders>
              <w:left w:val="single" w:sz="4" w:space="0" w:color="000000"/>
              <w:right w:val="single" w:sz="4" w:space="0" w:color="000000"/>
            </w:tcBorders>
            <w:shd w:val="clear" w:color="auto" w:fill="auto"/>
          </w:tcPr>
          <w:p w14:paraId="21020AC0" w14:textId="77777777" w:rsidR="00CC2559" w:rsidRDefault="00CC2559"/>
        </w:tc>
      </w:tr>
      <w:tr w:rsidR="00CC2559" w14:paraId="1B585233" w14:textId="77777777">
        <w:trPr>
          <w:cantSplit/>
        </w:trPr>
        <w:tc>
          <w:tcPr>
            <w:tcW w:w="4951" w:type="dxa"/>
            <w:tcBorders>
              <w:left w:val="single" w:sz="4" w:space="0" w:color="000000"/>
            </w:tcBorders>
            <w:shd w:val="clear" w:color="auto" w:fill="auto"/>
          </w:tcPr>
          <w:p w14:paraId="0706647B" w14:textId="77777777" w:rsidR="00CC2559" w:rsidRDefault="00CC2559">
            <w:pPr>
              <w:pStyle w:val="TableContents"/>
              <w:ind w:left="149" w:right="3" w:hanging="189"/>
              <w:rPr>
                <w:sz w:val="19"/>
              </w:rPr>
            </w:pPr>
          </w:p>
        </w:tc>
        <w:tc>
          <w:tcPr>
            <w:tcW w:w="4951" w:type="dxa"/>
            <w:tcBorders>
              <w:left w:val="single" w:sz="4" w:space="0" w:color="000000"/>
            </w:tcBorders>
            <w:shd w:val="clear" w:color="auto" w:fill="auto"/>
          </w:tcPr>
          <w:p w14:paraId="1B498526" w14:textId="77777777" w:rsidR="00CC2559" w:rsidRDefault="0037085D">
            <w:pPr>
              <w:pStyle w:val="TableContents"/>
              <w:ind w:left="149" w:right="3" w:hanging="189"/>
            </w:pPr>
            <w:r>
              <w:rPr>
                <w:sz w:val="19"/>
              </w:rPr>
              <w:t xml:space="preserve">g. der </w:t>
            </w:r>
            <w:r>
              <w:rPr>
                <w:sz w:val="19"/>
              </w:rPr>
              <w:t>Wasserzinsen.</w:t>
            </w:r>
          </w:p>
        </w:tc>
        <w:tc>
          <w:tcPr>
            <w:tcW w:w="4952" w:type="dxa"/>
            <w:tcBorders>
              <w:left w:val="single" w:sz="4" w:space="0" w:color="000000"/>
              <w:right w:val="single" w:sz="4" w:space="0" w:color="000000"/>
            </w:tcBorders>
            <w:shd w:val="clear" w:color="auto" w:fill="auto"/>
          </w:tcPr>
          <w:p w14:paraId="6E85BAB3" w14:textId="77777777" w:rsidR="00CC2559" w:rsidRDefault="00CC2559"/>
        </w:tc>
      </w:tr>
      <w:tr w:rsidR="00CC2559" w14:paraId="40D05158" w14:textId="77777777">
        <w:trPr>
          <w:cantSplit/>
        </w:trPr>
        <w:tc>
          <w:tcPr>
            <w:tcW w:w="4951" w:type="dxa"/>
            <w:tcBorders>
              <w:left w:val="single" w:sz="4" w:space="0" w:color="000000"/>
            </w:tcBorders>
            <w:shd w:val="clear" w:color="auto" w:fill="auto"/>
          </w:tcPr>
          <w:p w14:paraId="26563B08" w14:textId="77777777" w:rsidR="00CC2559" w:rsidRDefault="0037085D">
            <w:pPr>
              <w:pStyle w:val="TableContents"/>
            </w:pPr>
            <w:r>
              <w:rPr>
                <w:sz w:val="19"/>
                <w:vertAlign w:val="superscript"/>
              </w:rPr>
              <w:t>3</w:t>
            </w:r>
            <w:r>
              <w:rPr>
                <w:sz w:val="19"/>
              </w:rPr>
              <w:t> Der Ertrag der einfachen Steuer von natürlichen Personen wird durch die Zahl der Einwohner der Einwohnergemeinde dividiert und mit dem gewichteten, durchschnittlichen Steuerfuss aller Einwohnergemeinden multipliziert.</w:t>
            </w:r>
          </w:p>
        </w:tc>
        <w:tc>
          <w:tcPr>
            <w:tcW w:w="4951" w:type="dxa"/>
            <w:tcBorders>
              <w:left w:val="single" w:sz="4" w:space="0" w:color="000000"/>
            </w:tcBorders>
            <w:shd w:val="clear" w:color="auto" w:fill="auto"/>
          </w:tcPr>
          <w:p w14:paraId="552366D7" w14:textId="77777777" w:rsidR="00CC2559" w:rsidRDefault="0037085D">
            <w:pPr>
              <w:pStyle w:val="TableContents"/>
            </w:pPr>
            <w:r>
              <w:rPr>
                <w:sz w:val="19"/>
                <w:vertAlign w:val="superscript"/>
              </w:rPr>
              <w:t>3</w:t>
            </w:r>
            <w:r>
              <w:rPr>
                <w:sz w:val="19"/>
              </w:rPr>
              <w:t xml:space="preserve"> Der Ertrag der einfachen </w:t>
            </w:r>
            <w:r>
              <w:rPr>
                <w:strike/>
                <w:sz w:val="19"/>
              </w:rPr>
              <w:t xml:space="preserve">Steuer von natürlichen Personen </w:t>
            </w:r>
            <w:r>
              <w:rPr>
                <w:sz w:val="19"/>
              </w:rPr>
              <w:t>​</w:t>
            </w:r>
            <w:r>
              <w:rPr>
                <w:sz w:val="19"/>
                <w:u w:val="single"/>
              </w:rPr>
              <w:t xml:space="preserve">Steuern gemäss Absatz 2 Buchstaben a bis d </w:t>
            </w:r>
            <w:r>
              <w:rPr>
                <w:sz w:val="19"/>
              </w:rPr>
              <w:t xml:space="preserve">wird </w:t>
            </w:r>
            <w:r>
              <w:rPr>
                <w:strike/>
                <w:sz w:val="19"/>
              </w:rPr>
              <w:t xml:space="preserve">durch die Zahl der Einwohner der Einwohnergemeinde dividiert und </w:t>
            </w:r>
            <w:r>
              <w:rPr>
                <w:sz w:val="19"/>
              </w:rPr>
              <w:t>mit dem gewichteten, durchschnittlichen Steuerfuss aller Einwohnergemeinden multipli</w:t>
            </w:r>
            <w:r>
              <w:rPr>
                <w:sz w:val="19"/>
              </w:rPr>
              <w:t>ziert.</w:t>
            </w:r>
            <w:r>
              <w:rPr>
                <w:sz w:val="19"/>
                <w:u w:val="single"/>
              </w:rPr>
              <w:t xml:space="preserve"> Dieses Ergebnis dividiert durch die Zahl der Einwohner der Einwohnergemeinde ergibt das Ressourcenpotenzial pro Einwohner.</w:t>
            </w:r>
          </w:p>
        </w:tc>
        <w:tc>
          <w:tcPr>
            <w:tcW w:w="4952" w:type="dxa"/>
            <w:tcBorders>
              <w:left w:val="single" w:sz="4" w:space="0" w:color="000000"/>
              <w:right w:val="single" w:sz="4" w:space="0" w:color="000000"/>
            </w:tcBorders>
            <w:shd w:val="clear" w:color="auto" w:fill="auto"/>
          </w:tcPr>
          <w:p w14:paraId="4A2D2424" w14:textId="77777777" w:rsidR="00CC2559" w:rsidRDefault="00CC2559"/>
        </w:tc>
      </w:tr>
      <w:tr w:rsidR="00CC2559" w14:paraId="2B72E2E2" w14:textId="77777777">
        <w:trPr>
          <w:cantSplit/>
        </w:trPr>
        <w:tc>
          <w:tcPr>
            <w:tcW w:w="4951" w:type="dxa"/>
            <w:tcBorders>
              <w:left w:val="single" w:sz="4" w:space="0" w:color="000000"/>
            </w:tcBorders>
            <w:shd w:val="clear" w:color="auto" w:fill="auto"/>
          </w:tcPr>
          <w:p w14:paraId="12CD75C3" w14:textId="77777777" w:rsidR="00CC2559" w:rsidRDefault="0037085D">
            <w:pPr>
              <w:pStyle w:val="TableContents"/>
            </w:pPr>
            <w:r>
              <w:rPr>
                <w:sz w:val="19"/>
                <w:vertAlign w:val="superscript"/>
              </w:rPr>
              <w:t>4</w:t>
            </w:r>
            <w:r>
              <w:rPr>
                <w:sz w:val="19"/>
              </w:rPr>
              <w:t> Der Ertrag von juristischen Personen wird durch die Zahl der Einwohner der Einwohnergemeinde dividiert und auf den Einwohn</w:t>
            </w:r>
            <w:r>
              <w:rPr>
                <w:sz w:val="19"/>
              </w:rPr>
              <w:t>ergemeindeanteil am Ertrag der juristischen Personen hochgerechnet.</w:t>
            </w:r>
          </w:p>
        </w:tc>
        <w:tc>
          <w:tcPr>
            <w:tcW w:w="4951" w:type="dxa"/>
            <w:tcBorders>
              <w:left w:val="single" w:sz="4" w:space="0" w:color="000000"/>
            </w:tcBorders>
            <w:shd w:val="clear" w:color="auto" w:fill="auto"/>
          </w:tcPr>
          <w:p w14:paraId="6F2B76AE" w14:textId="77777777" w:rsidR="00CC2559" w:rsidRDefault="0037085D">
            <w:pPr>
              <w:pStyle w:val="TableContents"/>
            </w:pPr>
            <w:r>
              <w:rPr>
                <w:sz w:val="19"/>
                <w:vertAlign w:val="superscript"/>
              </w:rPr>
              <w:t>4</w:t>
            </w:r>
            <w:r>
              <w:rPr>
                <w:sz w:val="19"/>
              </w:rPr>
              <w:t xml:space="preserve"> Der Ertrag </w:t>
            </w:r>
            <w:r>
              <w:rPr>
                <w:strike/>
                <w:sz w:val="19"/>
              </w:rPr>
              <w:t xml:space="preserve">von juristischen Personen wird </w:t>
            </w:r>
            <w:r>
              <w:rPr>
                <w:sz w:val="19"/>
              </w:rPr>
              <w:t>​</w:t>
            </w:r>
            <w:r>
              <w:rPr>
                <w:sz w:val="19"/>
                <w:u w:val="single"/>
              </w:rPr>
              <w:t xml:space="preserve">der Steuern gemäss Absatz 2 Buchstaben e und f sowie die Wasserzinsen werden </w:t>
            </w:r>
            <w:r>
              <w:rPr>
                <w:sz w:val="19"/>
              </w:rPr>
              <w:t>durch die Zahl der Einwohner der Einwohnergemeinde dividiert</w:t>
            </w:r>
            <w:r>
              <w:rPr>
                <w:strike/>
                <w:sz w:val="19"/>
              </w:rPr>
              <w:t xml:space="preserve"> und a</w:t>
            </w:r>
            <w:r>
              <w:rPr>
                <w:strike/>
                <w:sz w:val="19"/>
              </w:rPr>
              <w:t>uf den Einwohnergemeindeanteil am Ertrag der juristischen Personen hochgerechnet</w:t>
            </w:r>
            <w:r>
              <w:rPr>
                <w:sz w:val="19"/>
              </w:rPr>
              <w:t>.</w:t>
            </w:r>
          </w:p>
        </w:tc>
        <w:tc>
          <w:tcPr>
            <w:tcW w:w="4952" w:type="dxa"/>
            <w:tcBorders>
              <w:left w:val="single" w:sz="4" w:space="0" w:color="000000"/>
              <w:right w:val="single" w:sz="4" w:space="0" w:color="000000"/>
            </w:tcBorders>
            <w:shd w:val="clear" w:color="auto" w:fill="auto"/>
          </w:tcPr>
          <w:p w14:paraId="7174DDEE" w14:textId="77777777" w:rsidR="00CC2559" w:rsidRDefault="00CC2559"/>
        </w:tc>
      </w:tr>
      <w:tr w:rsidR="00CC2559" w14:paraId="4A0C3FDA" w14:textId="77777777">
        <w:trPr>
          <w:cantSplit/>
        </w:trPr>
        <w:tc>
          <w:tcPr>
            <w:tcW w:w="4951" w:type="dxa"/>
            <w:tcBorders>
              <w:left w:val="single" w:sz="4" w:space="0" w:color="000000"/>
            </w:tcBorders>
            <w:shd w:val="clear" w:color="auto" w:fill="auto"/>
          </w:tcPr>
          <w:p w14:paraId="7176AF79" w14:textId="77777777" w:rsidR="00CC2559" w:rsidRDefault="0037085D">
            <w:pPr>
              <w:pStyle w:val="TableContents"/>
            </w:pPr>
            <w:r>
              <w:rPr>
                <w:sz w:val="19"/>
                <w:vertAlign w:val="superscript"/>
              </w:rPr>
              <w:t>5</w:t>
            </w:r>
            <w:r>
              <w:rPr>
                <w:sz w:val="19"/>
              </w:rPr>
              <w:t> Massgebend ist der Steuerertrag des aktuellen Rechnungsjahrs.</w:t>
            </w:r>
          </w:p>
        </w:tc>
        <w:tc>
          <w:tcPr>
            <w:tcW w:w="4951" w:type="dxa"/>
            <w:tcBorders>
              <w:left w:val="single" w:sz="4" w:space="0" w:color="000000"/>
            </w:tcBorders>
            <w:shd w:val="clear" w:color="auto" w:fill="auto"/>
          </w:tcPr>
          <w:p w14:paraId="713697B6" w14:textId="77777777" w:rsidR="00CC2559" w:rsidRDefault="0037085D">
            <w:pPr>
              <w:pStyle w:val="TableContents"/>
            </w:pPr>
            <w:r>
              <w:rPr>
                <w:sz w:val="19"/>
                <w:vertAlign w:val="superscript"/>
              </w:rPr>
              <w:t>5</w:t>
            </w:r>
            <w:r>
              <w:rPr>
                <w:sz w:val="19"/>
              </w:rPr>
              <w:t xml:space="preserve"> Massgebend </w:t>
            </w:r>
            <w:r>
              <w:rPr>
                <w:strike/>
                <w:sz w:val="19"/>
              </w:rPr>
              <w:t>ist</w:t>
            </w:r>
            <w:r>
              <w:rPr>
                <w:sz w:val="19"/>
              </w:rPr>
              <w:t>​</w:t>
            </w:r>
            <w:r>
              <w:rPr>
                <w:sz w:val="19"/>
                <w:u w:val="single"/>
              </w:rPr>
              <w:t>sind</w:t>
            </w:r>
            <w:r>
              <w:rPr>
                <w:sz w:val="19"/>
              </w:rPr>
              <w:t xml:space="preserve"> der Steuerertrag</w:t>
            </w:r>
            <w:r>
              <w:rPr>
                <w:sz w:val="19"/>
                <w:u w:val="single"/>
              </w:rPr>
              <w:t xml:space="preserve"> und der Wasserzinsertrag</w:t>
            </w:r>
            <w:r>
              <w:rPr>
                <w:sz w:val="19"/>
              </w:rPr>
              <w:t xml:space="preserve"> des aktuellen Rechnungsjahrs.</w:t>
            </w:r>
          </w:p>
        </w:tc>
        <w:tc>
          <w:tcPr>
            <w:tcW w:w="4952" w:type="dxa"/>
            <w:tcBorders>
              <w:left w:val="single" w:sz="4" w:space="0" w:color="000000"/>
              <w:right w:val="single" w:sz="4" w:space="0" w:color="000000"/>
            </w:tcBorders>
            <w:shd w:val="clear" w:color="auto" w:fill="auto"/>
          </w:tcPr>
          <w:p w14:paraId="56670A8A" w14:textId="77777777" w:rsidR="00CC2559" w:rsidRDefault="00CC2559"/>
        </w:tc>
      </w:tr>
      <w:tr w:rsidR="00CC2559" w14:paraId="1C3B69BB" w14:textId="77777777">
        <w:trPr>
          <w:cantSplit/>
        </w:trPr>
        <w:tc>
          <w:tcPr>
            <w:tcW w:w="4951" w:type="dxa"/>
            <w:tcBorders>
              <w:top w:val="single" w:sz="4" w:space="0" w:color="000000"/>
              <w:left w:val="single" w:sz="4" w:space="0" w:color="000000"/>
            </w:tcBorders>
            <w:shd w:val="clear" w:color="auto" w:fill="auto"/>
          </w:tcPr>
          <w:p w14:paraId="52FA615D" w14:textId="77777777" w:rsidR="00CC2559" w:rsidRDefault="0037085D">
            <w:pPr>
              <w:pStyle w:val="TableContents"/>
            </w:pPr>
            <w:r>
              <w:rPr>
                <w:b/>
                <w:bCs/>
                <w:sz w:val="19"/>
              </w:rPr>
              <w:t>Art.  6</w:t>
            </w:r>
            <w:r>
              <w:rPr>
                <w:sz w:val="19"/>
              </w:rPr>
              <w:br/>
            </w:r>
            <w:r>
              <w:rPr>
                <w:sz w:val="16"/>
              </w:rPr>
              <w:t>Bere</w:t>
            </w:r>
            <w:r>
              <w:rPr>
                <w:sz w:val="16"/>
              </w:rPr>
              <w:t>chnung Ressourcenausgleich</w:t>
            </w:r>
          </w:p>
        </w:tc>
        <w:tc>
          <w:tcPr>
            <w:tcW w:w="4951" w:type="dxa"/>
            <w:tcBorders>
              <w:top w:val="single" w:sz="4" w:space="0" w:color="000000"/>
              <w:left w:val="single" w:sz="4" w:space="0" w:color="000000"/>
            </w:tcBorders>
            <w:shd w:val="clear" w:color="auto" w:fill="auto"/>
          </w:tcPr>
          <w:p w14:paraId="6A761E73" w14:textId="77777777" w:rsidR="00CC2559" w:rsidRDefault="00CC2559">
            <w:pPr>
              <w:pStyle w:val="TableContents"/>
              <w:rPr>
                <w:sz w:val="19"/>
              </w:rPr>
            </w:pPr>
          </w:p>
        </w:tc>
        <w:tc>
          <w:tcPr>
            <w:tcW w:w="4952" w:type="dxa"/>
            <w:tcBorders>
              <w:top w:val="single" w:sz="4" w:space="0" w:color="000000"/>
              <w:left w:val="single" w:sz="4" w:space="0" w:color="000000"/>
              <w:right w:val="single" w:sz="4" w:space="0" w:color="000000"/>
            </w:tcBorders>
            <w:shd w:val="clear" w:color="auto" w:fill="auto"/>
          </w:tcPr>
          <w:p w14:paraId="507B10AC" w14:textId="77777777" w:rsidR="00CC2559" w:rsidRDefault="00CC2559"/>
        </w:tc>
      </w:tr>
      <w:tr w:rsidR="00CC2559" w14:paraId="4BA25EFD" w14:textId="77777777">
        <w:trPr>
          <w:cantSplit/>
        </w:trPr>
        <w:tc>
          <w:tcPr>
            <w:tcW w:w="4951" w:type="dxa"/>
            <w:tcBorders>
              <w:left w:val="single" w:sz="4" w:space="0" w:color="000000"/>
            </w:tcBorders>
            <w:shd w:val="clear" w:color="auto" w:fill="auto"/>
          </w:tcPr>
          <w:p w14:paraId="2E53FD35" w14:textId="77777777" w:rsidR="00CC2559" w:rsidRDefault="0037085D">
            <w:pPr>
              <w:pStyle w:val="TableContents"/>
            </w:pPr>
            <w:r>
              <w:rPr>
                <w:sz w:val="19"/>
                <w:vertAlign w:val="superscript"/>
              </w:rPr>
              <w:lastRenderedPageBreak/>
              <w:t>1</w:t>
            </w:r>
            <w:r>
              <w:rPr>
                <w:sz w:val="19"/>
              </w:rPr>
              <w:t> Liegt der Ressourcenindex einer Einwohnergemeinde unter der Mindestausstattung, so ist sie ausgleichsberechtigt.</w:t>
            </w:r>
          </w:p>
        </w:tc>
        <w:tc>
          <w:tcPr>
            <w:tcW w:w="4951" w:type="dxa"/>
            <w:tcBorders>
              <w:left w:val="single" w:sz="4" w:space="0" w:color="000000"/>
            </w:tcBorders>
            <w:shd w:val="clear" w:color="auto" w:fill="auto"/>
          </w:tcPr>
          <w:p w14:paraId="67259EA9" w14:textId="77777777" w:rsidR="00CC2559" w:rsidRDefault="00CC2559">
            <w:pPr>
              <w:pStyle w:val="TableContents"/>
              <w:rPr>
                <w:sz w:val="19"/>
              </w:rPr>
            </w:pPr>
          </w:p>
        </w:tc>
        <w:tc>
          <w:tcPr>
            <w:tcW w:w="4952" w:type="dxa"/>
            <w:tcBorders>
              <w:left w:val="single" w:sz="4" w:space="0" w:color="000000"/>
              <w:right w:val="single" w:sz="4" w:space="0" w:color="000000"/>
            </w:tcBorders>
            <w:shd w:val="clear" w:color="auto" w:fill="auto"/>
          </w:tcPr>
          <w:p w14:paraId="2944B361" w14:textId="77777777" w:rsidR="00CC2559" w:rsidRDefault="00CC2559"/>
        </w:tc>
      </w:tr>
      <w:tr w:rsidR="00CC2559" w14:paraId="101E726B" w14:textId="77777777">
        <w:trPr>
          <w:cantSplit/>
        </w:trPr>
        <w:tc>
          <w:tcPr>
            <w:tcW w:w="4951" w:type="dxa"/>
            <w:tcBorders>
              <w:left w:val="single" w:sz="4" w:space="0" w:color="000000"/>
            </w:tcBorders>
            <w:shd w:val="clear" w:color="auto" w:fill="auto"/>
          </w:tcPr>
          <w:p w14:paraId="2F22E614" w14:textId="77777777" w:rsidR="00CC2559" w:rsidRDefault="00CC2559">
            <w:pPr>
              <w:pStyle w:val="TableContents"/>
              <w:rPr>
                <w:sz w:val="19"/>
              </w:rPr>
            </w:pPr>
          </w:p>
        </w:tc>
        <w:tc>
          <w:tcPr>
            <w:tcW w:w="4951" w:type="dxa"/>
            <w:tcBorders>
              <w:left w:val="single" w:sz="4" w:space="0" w:color="000000"/>
            </w:tcBorders>
            <w:shd w:val="clear" w:color="auto" w:fill="auto"/>
          </w:tcPr>
          <w:p w14:paraId="68E162C2" w14:textId="77777777" w:rsidR="00CC2559" w:rsidRDefault="0037085D">
            <w:pPr>
              <w:pStyle w:val="TableContents"/>
            </w:pPr>
            <w:r>
              <w:rPr>
                <w:sz w:val="19"/>
                <w:vertAlign w:val="superscript"/>
              </w:rPr>
              <w:t>1a</w:t>
            </w:r>
            <w:r>
              <w:rPr>
                <w:sz w:val="19"/>
              </w:rPr>
              <w:t xml:space="preserve"> Die für die Berechnung des Ressourcenausgleichs massgebende Einwohnerzahl basiert auf der </w:t>
            </w:r>
            <w:r>
              <w:rPr>
                <w:sz w:val="19"/>
              </w:rPr>
              <w:t>ständigen Wohnbevölkerung sowie dem Bestand an Zweitwohnungen der entsprechenden Einwohnergemeinde. Der Zweitwohnungsbestand wird mit 20 Prozent zur massgebenden Einwohnerzahl dazugezählt.</w:t>
            </w:r>
          </w:p>
        </w:tc>
        <w:tc>
          <w:tcPr>
            <w:tcW w:w="4952" w:type="dxa"/>
            <w:tcBorders>
              <w:left w:val="single" w:sz="4" w:space="0" w:color="000000"/>
              <w:right w:val="single" w:sz="4" w:space="0" w:color="000000"/>
            </w:tcBorders>
            <w:shd w:val="clear" w:color="auto" w:fill="auto"/>
          </w:tcPr>
          <w:p w14:paraId="29968FFC" w14:textId="77777777" w:rsidR="00CC2559" w:rsidRDefault="00CC2559"/>
        </w:tc>
      </w:tr>
      <w:tr w:rsidR="00CC2559" w14:paraId="3FF260CB" w14:textId="77777777">
        <w:trPr>
          <w:cantSplit/>
        </w:trPr>
        <w:tc>
          <w:tcPr>
            <w:tcW w:w="4951" w:type="dxa"/>
            <w:tcBorders>
              <w:left w:val="single" w:sz="4" w:space="0" w:color="000000"/>
            </w:tcBorders>
            <w:shd w:val="clear" w:color="auto" w:fill="auto"/>
          </w:tcPr>
          <w:p w14:paraId="7B182B5D" w14:textId="77777777" w:rsidR="00CC2559" w:rsidRDefault="0037085D">
            <w:pPr>
              <w:pStyle w:val="TableContents"/>
            </w:pPr>
            <w:r>
              <w:rPr>
                <w:sz w:val="19"/>
                <w:vertAlign w:val="superscript"/>
              </w:rPr>
              <w:t>2</w:t>
            </w:r>
            <w:r>
              <w:rPr>
                <w:sz w:val="19"/>
              </w:rPr>
              <w:t xml:space="preserve"> Der Ausgleichsbetrag berechnet sich wie folgt: Vom Wert der </w:t>
            </w:r>
            <w:r>
              <w:rPr>
                <w:sz w:val="19"/>
              </w:rPr>
              <w:t>Mindestausstattung je Einwohner gemäss Art. 3 dieses Gesetzes wird das Ressourcenpotenzial der ausgleichsberechtigten Einwohnergemeinde je Einwohner gemäss Art. 4 Abs. 2 dieses Gesetzes abgezählt; das Ergebnis wird mit dem durchschnittlichen nach Einwohner</w:t>
            </w:r>
            <w:r>
              <w:rPr>
                <w:sz w:val="19"/>
              </w:rPr>
              <w:t>zahl gewichteten Einwohnergemeindesteuerfuss und der Einwohnerzahl der ausgleichsberechtigten Einwohnergemeinde multipliziert.</w:t>
            </w:r>
          </w:p>
        </w:tc>
        <w:tc>
          <w:tcPr>
            <w:tcW w:w="4951" w:type="dxa"/>
            <w:tcBorders>
              <w:left w:val="single" w:sz="4" w:space="0" w:color="000000"/>
            </w:tcBorders>
            <w:shd w:val="clear" w:color="auto" w:fill="auto"/>
          </w:tcPr>
          <w:p w14:paraId="69448D56" w14:textId="77777777" w:rsidR="00CC2559" w:rsidRDefault="0037085D">
            <w:pPr>
              <w:pStyle w:val="TableContents"/>
            </w:pPr>
            <w:r>
              <w:rPr>
                <w:sz w:val="19"/>
                <w:vertAlign w:val="superscript"/>
              </w:rPr>
              <w:t>2</w:t>
            </w:r>
            <w:r>
              <w:rPr>
                <w:sz w:val="19"/>
              </w:rPr>
              <w:t xml:space="preserve"> Der Ausgleichsbetrag berechnet sich wie folgt: Vom Wert der Mindestausstattung je Einwohner gemäss Art. 3 dieses Gesetzes wird das Ressourcenpotenzial der ausgleichsberechtigten Einwohnergemeinde je Einwohner </w:t>
            </w:r>
            <w:r>
              <w:rPr>
                <w:strike/>
                <w:sz w:val="19"/>
              </w:rPr>
              <w:t>gemäss Art. 4 Abs. 2 dieses Gesetzes abgezählt</w:t>
            </w:r>
            <w:r>
              <w:rPr>
                <w:sz w:val="19"/>
              </w:rPr>
              <w:t>​</w:t>
            </w:r>
            <w:r>
              <w:rPr>
                <w:sz w:val="19"/>
                <w:u w:val="single"/>
              </w:rPr>
              <w:t>abgezogen</w:t>
            </w:r>
            <w:r>
              <w:rPr>
                <w:sz w:val="19"/>
              </w:rPr>
              <w:t>; das Ergebnis wird mit</w:t>
            </w:r>
            <w:r>
              <w:rPr>
                <w:strike/>
                <w:sz w:val="19"/>
              </w:rPr>
              <w:t xml:space="preserve"> dem durchschnittlichen nach Einwohnerzahl gewichteten Einwohnergemeindesteuerfuss und</w:t>
            </w:r>
            <w:r>
              <w:rPr>
                <w:sz w:val="19"/>
              </w:rPr>
              <w:t xml:space="preserve"> der Einwohnerzahl der ausgleichsberechtigten Einwohnergemeinde multipliziert.</w:t>
            </w:r>
          </w:p>
        </w:tc>
        <w:tc>
          <w:tcPr>
            <w:tcW w:w="4952" w:type="dxa"/>
            <w:tcBorders>
              <w:left w:val="single" w:sz="4" w:space="0" w:color="000000"/>
              <w:right w:val="single" w:sz="4" w:space="0" w:color="000000"/>
            </w:tcBorders>
            <w:shd w:val="clear" w:color="auto" w:fill="auto"/>
          </w:tcPr>
          <w:p w14:paraId="05EF1482" w14:textId="77777777" w:rsidR="00CC2559" w:rsidRDefault="00CC2559"/>
        </w:tc>
      </w:tr>
      <w:tr w:rsidR="00CC2559" w14:paraId="41C14E76" w14:textId="77777777">
        <w:trPr>
          <w:cantSplit/>
        </w:trPr>
        <w:tc>
          <w:tcPr>
            <w:tcW w:w="4951" w:type="dxa"/>
            <w:tcBorders>
              <w:left w:val="single" w:sz="4" w:space="0" w:color="000000"/>
            </w:tcBorders>
            <w:shd w:val="clear" w:color="auto" w:fill="auto"/>
          </w:tcPr>
          <w:p w14:paraId="507833F8" w14:textId="77777777" w:rsidR="00CC2559" w:rsidRDefault="0037085D">
            <w:pPr>
              <w:pStyle w:val="TableContents"/>
            </w:pPr>
            <w:r>
              <w:rPr>
                <w:sz w:val="19"/>
                <w:vertAlign w:val="superscript"/>
              </w:rPr>
              <w:t>3</w:t>
            </w:r>
            <w:r>
              <w:rPr>
                <w:sz w:val="19"/>
              </w:rPr>
              <w:t> Übersteigt die Summe des Ausgleichsbetrags für die Min</w:t>
            </w:r>
            <w:r>
              <w:rPr>
                <w:sz w:val="19"/>
              </w:rPr>
              <w:t xml:space="preserve">destausstattung von 85 Prozent die Summe von 6 Millionen Franken, so wird die Mindestausstattung herabgesetzt. Die Herabsetzung berechnet sich nach der Formel 85 – </w:t>
            </w:r>
            <w:proofErr w:type="gramStart"/>
            <w:r>
              <w:rPr>
                <w:sz w:val="19"/>
              </w:rPr>
              <w:t>( (</w:t>
            </w:r>
            <w:proofErr w:type="gramEnd"/>
            <w:r>
              <w:rPr>
                <w:sz w:val="19"/>
              </w:rPr>
              <w:t xml:space="preserve"> ( A / 1 000 000 ) – 6 ) / 2 ), wobei A für die Summe des Ausgleichsbetrags bei einer Min</w:t>
            </w:r>
            <w:r>
              <w:rPr>
                <w:sz w:val="19"/>
              </w:rPr>
              <w:t>destausstattung von 85 Punkten steht.</w:t>
            </w:r>
          </w:p>
        </w:tc>
        <w:tc>
          <w:tcPr>
            <w:tcW w:w="4951" w:type="dxa"/>
            <w:tcBorders>
              <w:left w:val="single" w:sz="4" w:space="0" w:color="000000"/>
            </w:tcBorders>
            <w:shd w:val="clear" w:color="auto" w:fill="auto"/>
          </w:tcPr>
          <w:p w14:paraId="2E6EA456" w14:textId="77777777" w:rsidR="00CC2559" w:rsidRDefault="00CC2559">
            <w:pPr>
              <w:pStyle w:val="TableContents"/>
              <w:rPr>
                <w:sz w:val="19"/>
              </w:rPr>
            </w:pPr>
          </w:p>
        </w:tc>
        <w:tc>
          <w:tcPr>
            <w:tcW w:w="4952" w:type="dxa"/>
            <w:tcBorders>
              <w:left w:val="single" w:sz="4" w:space="0" w:color="000000"/>
              <w:right w:val="single" w:sz="4" w:space="0" w:color="000000"/>
            </w:tcBorders>
            <w:shd w:val="clear" w:color="auto" w:fill="auto"/>
          </w:tcPr>
          <w:p w14:paraId="65A338A7" w14:textId="77777777" w:rsidR="00CC2559" w:rsidRDefault="00CC2559"/>
        </w:tc>
      </w:tr>
      <w:tr w:rsidR="00CC2559" w14:paraId="24263DF3" w14:textId="77777777">
        <w:trPr>
          <w:cantSplit/>
        </w:trPr>
        <w:tc>
          <w:tcPr>
            <w:tcW w:w="4951" w:type="dxa"/>
            <w:tcBorders>
              <w:left w:val="single" w:sz="4" w:space="0" w:color="000000"/>
            </w:tcBorders>
            <w:shd w:val="clear" w:color="auto" w:fill="auto"/>
          </w:tcPr>
          <w:p w14:paraId="2FEBDF02" w14:textId="77777777" w:rsidR="00CC2559" w:rsidRDefault="00CC2559">
            <w:pPr>
              <w:pStyle w:val="TableContents"/>
              <w:rPr>
                <w:sz w:val="19"/>
              </w:rPr>
            </w:pPr>
          </w:p>
        </w:tc>
        <w:tc>
          <w:tcPr>
            <w:tcW w:w="4951" w:type="dxa"/>
            <w:tcBorders>
              <w:left w:val="single" w:sz="4" w:space="0" w:color="000000"/>
            </w:tcBorders>
            <w:shd w:val="clear" w:color="auto" w:fill="auto"/>
          </w:tcPr>
          <w:p w14:paraId="06D716EA" w14:textId="77777777" w:rsidR="00CC2559" w:rsidRDefault="0037085D">
            <w:pPr>
              <w:pStyle w:val="TableContents"/>
            </w:pPr>
            <w:r>
              <w:rPr>
                <w:sz w:val="19"/>
                <w:vertAlign w:val="superscript"/>
              </w:rPr>
              <w:t>4</w:t>
            </w:r>
            <w:r>
              <w:rPr>
                <w:sz w:val="19"/>
              </w:rPr>
              <w:t> Erfolgt eine Kürzung des Ausgleichsbetrags gemäss Absatz 3, so wird der gekürzte Ausgleichsbetrag um das prozentuale Wachstum des Ressourcenpotenzials aller Einwohnergemeinden zum Vorjahreswert erhöht. Ist die Ve</w:t>
            </w:r>
            <w:r>
              <w:rPr>
                <w:sz w:val="19"/>
              </w:rPr>
              <w:t>ränderung zum Vorjahr negativ, findet keine weitere Anpassung des gekürzten Ausgleichsbetrags statt.</w:t>
            </w:r>
          </w:p>
        </w:tc>
        <w:tc>
          <w:tcPr>
            <w:tcW w:w="4952" w:type="dxa"/>
            <w:tcBorders>
              <w:left w:val="single" w:sz="4" w:space="0" w:color="000000"/>
              <w:right w:val="single" w:sz="4" w:space="0" w:color="000000"/>
            </w:tcBorders>
            <w:shd w:val="clear" w:color="auto" w:fill="auto"/>
          </w:tcPr>
          <w:p w14:paraId="0496B18E" w14:textId="77777777" w:rsidR="00CC2559" w:rsidRDefault="00CC2559"/>
        </w:tc>
      </w:tr>
      <w:tr w:rsidR="00CC2559" w14:paraId="15C200F3" w14:textId="77777777">
        <w:trPr>
          <w:cantSplit/>
        </w:trPr>
        <w:tc>
          <w:tcPr>
            <w:tcW w:w="4951" w:type="dxa"/>
            <w:tcBorders>
              <w:top w:val="single" w:sz="4" w:space="0" w:color="000000"/>
              <w:left w:val="single" w:sz="4" w:space="0" w:color="000000"/>
            </w:tcBorders>
            <w:shd w:val="clear" w:color="auto" w:fill="auto"/>
          </w:tcPr>
          <w:p w14:paraId="6A2350F1" w14:textId="77777777" w:rsidR="00CC2559" w:rsidRDefault="0037085D">
            <w:pPr>
              <w:pStyle w:val="TableContents"/>
            </w:pPr>
            <w:r>
              <w:rPr>
                <w:b/>
                <w:bCs/>
                <w:sz w:val="19"/>
              </w:rPr>
              <w:t>Art.  7</w:t>
            </w:r>
            <w:r>
              <w:rPr>
                <w:sz w:val="19"/>
              </w:rPr>
              <w:br/>
            </w:r>
            <w:r>
              <w:rPr>
                <w:sz w:val="16"/>
              </w:rPr>
              <w:t>Finanzierung des Ressourcenausgleichs</w:t>
            </w:r>
          </w:p>
        </w:tc>
        <w:tc>
          <w:tcPr>
            <w:tcW w:w="4951" w:type="dxa"/>
            <w:tcBorders>
              <w:top w:val="single" w:sz="4" w:space="0" w:color="000000"/>
              <w:left w:val="single" w:sz="4" w:space="0" w:color="000000"/>
            </w:tcBorders>
            <w:shd w:val="clear" w:color="auto" w:fill="auto"/>
          </w:tcPr>
          <w:p w14:paraId="67E51A32" w14:textId="77777777" w:rsidR="00CC2559" w:rsidRDefault="00CC2559">
            <w:pPr>
              <w:pStyle w:val="TableContents"/>
              <w:rPr>
                <w:sz w:val="19"/>
              </w:rPr>
            </w:pPr>
          </w:p>
        </w:tc>
        <w:tc>
          <w:tcPr>
            <w:tcW w:w="4952" w:type="dxa"/>
            <w:tcBorders>
              <w:top w:val="single" w:sz="4" w:space="0" w:color="000000"/>
              <w:left w:val="single" w:sz="4" w:space="0" w:color="000000"/>
              <w:right w:val="single" w:sz="4" w:space="0" w:color="000000"/>
            </w:tcBorders>
            <w:shd w:val="clear" w:color="auto" w:fill="auto"/>
          </w:tcPr>
          <w:p w14:paraId="5B2AD88A" w14:textId="77777777" w:rsidR="00CC2559" w:rsidRDefault="00CC2559"/>
        </w:tc>
      </w:tr>
      <w:tr w:rsidR="00CC2559" w14:paraId="1B7E67C8" w14:textId="77777777">
        <w:trPr>
          <w:cantSplit/>
        </w:trPr>
        <w:tc>
          <w:tcPr>
            <w:tcW w:w="4951" w:type="dxa"/>
            <w:tcBorders>
              <w:left w:val="single" w:sz="4" w:space="0" w:color="000000"/>
            </w:tcBorders>
            <w:shd w:val="clear" w:color="auto" w:fill="auto"/>
          </w:tcPr>
          <w:p w14:paraId="4EAB2372" w14:textId="77777777" w:rsidR="00CC2559" w:rsidRDefault="0037085D">
            <w:pPr>
              <w:pStyle w:val="TableContents"/>
            </w:pPr>
            <w:r>
              <w:rPr>
                <w:sz w:val="19"/>
                <w:vertAlign w:val="superscript"/>
              </w:rPr>
              <w:t>1</w:t>
            </w:r>
            <w:r>
              <w:rPr>
                <w:sz w:val="19"/>
              </w:rPr>
              <w:t xml:space="preserve"> Liegt der Ressourcenindex einer Einwohnergemeinde über 95 Prozent des </w:t>
            </w:r>
            <w:r>
              <w:rPr>
                <w:sz w:val="19"/>
              </w:rPr>
              <w:t>durchschnittlichen kantonalen Ressourcenindexes, so ist sie ausgleichspflichtig.</w:t>
            </w:r>
          </w:p>
        </w:tc>
        <w:tc>
          <w:tcPr>
            <w:tcW w:w="4951" w:type="dxa"/>
            <w:tcBorders>
              <w:left w:val="single" w:sz="4" w:space="0" w:color="000000"/>
            </w:tcBorders>
            <w:shd w:val="clear" w:color="auto" w:fill="auto"/>
          </w:tcPr>
          <w:p w14:paraId="167BBCF6" w14:textId="77777777" w:rsidR="00CC2559" w:rsidRDefault="0037085D">
            <w:pPr>
              <w:pStyle w:val="TableContents"/>
            </w:pPr>
            <w:r>
              <w:rPr>
                <w:sz w:val="19"/>
                <w:vertAlign w:val="superscript"/>
              </w:rPr>
              <w:t>1</w:t>
            </w:r>
            <w:r>
              <w:rPr>
                <w:sz w:val="19"/>
              </w:rPr>
              <w:t xml:space="preserve"> Liegt der Ressourcenindex einer Einwohnergemeinde über </w:t>
            </w:r>
            <w:r>
              <w:rPr>
                <w:strike/>
                <w:sz w:val="19"/>
              </w:rPr>
              <w:t>95</w:t>
            </w:r>
            <w:r>
              <w:rPr>
                <w:sz w:val="19"/>
              </w:rPr>
              <w:t>​</w:t>
            </w:r>
            <w:r>
              <w:rPr>
                <w:sz w:val="19"/>
                <w:u w:val="single"/>
              </w:rPr>
              <w:t>85</w:t>
            </w:r>
            <w:r>
              <w:rPr>
                <w:sz w:val="19"/>
              </w:rPr>
              <w:t xml:space="preserve"> Prozent des durchschnittlichen kantonalen Ressourcenindexes, so ist sie ausgleichspflichtig.</w:t>
            </w:r>
          </w:p>
        </w:tc>
        <w:tc>
          <w:tcPr>
            <w:tcW w:w="4952" w:type="dxa"/>
            <w:tcBorders>
              <w:left w:val="single" w:sz="4" w:space="0" w:color="000000"/>
              <w:right w:val="single" w:sz="4" w:space="0" w:color="000000"/>
            </w:tcBorders>
            <w:shd w:val="clear" w:color="auto" w:fill="auto"/>
          </w:tcPr>
          <w:p w14:paraId="240CD61A" w14:textId="77777777" w:rsidR="00CC2559" w:rsidRDefault="00CC2559"/>
        </w:tc>
      </w:tr>
      <w:tr w:rsidR="00CC2559" w14:paraId="2E4F8365" w14:textId="77777777">
        <w:trPr>
          <w:cantSplit/>
        </w:trPr>
        <w:tc>
          <w:tcPr>
            <w:tcW w:w="4951" w:type="dxa"/>
            <w:tcBorders>
              <w:left w:val="single" w:sz="4" w:space="0" w:color="000000"/>
            </w:tcBorders>
            <w:shd w:val="clear" w:color="auto" w:fill="auto"/>
          </w:tcPr>
          <w:p w14:paraId="5B60304E" w14:textId="77777777" w:rsidR="00CC2559" w:rsidRDefault="0037085D">
            <w:pPr>
              <w:pStyle w:val="TableContents"/>
            </w:pPr>
            <w:r>
              <w:rPr>
                <w:sz w:val="19"/>
                <w:vertAlign w:val="superscript"/>
              </w:rPr>
              <w:t>2</w:t>
            </w:r>
            <w:r>
              <w:rPr>
                <w:sz w:val="19"/>
              </w:rPr>
              <w:t> Der Gesamtbeitr</w:t>
            </w:r>
            <w:r>
              <w:rPr>
                <w:sz w:val="19"/>
              </w:rPr>
              <w:t xml:space="preserve">ag der </w:t>
            </w:r>
            <w:proofErr w:type="spellStart"/>
            <w:r>
              <w:rPr>
                <w:sz w:val="19"/>
              </w:rPr>
              <w:t>ausgleichspflichtigen</w:t>
            </w:r>
            <w:proofErr w:type="spellEnd"/>
            <w:r>
              <w:rPr>
                <w:sz w:val="19"/>
              </w:rPr>
              <w:t xml:space="preserve"> Einwohnergemeinden in den Ressourcenausgleich entspricht der Beitragssumme, die benötigt wird, damit alle Einwohnergemeinden die Mindestausstattung gemäss Art. 5 dieses Gesetzes erreichen.</w:t>
            </w:r>
          </w:p>
        </w:tc>
        <w:tc>
          <w:tcPr>
            <w:tcW w:w="4951" w:type="dxa"/>
            <w:tcBorders>
              <w:left w:val="single" w:sz="4" w:space="0" w:color="000000"/>
            </w:tcBorders>
            <w:shd w:val="clear" w:color="auto" w:fill="auto"/>
          </w:tcPr>
          <w:p w14:paraId="142A1993" w14:textId="77777777" w:rsidR="00CC2559" w:rsidRDefault="0037085D">
            <w:pPr>
              <w:pStyle w:val="TableContents"/>
            </w:pPr>
            <w:r>
              <w:rPr>
                <w:sz w:val="19"/>
                <w:vertAlign w:val="superscript"/>
              </w:rPr>
              <w:t>2</w:t>
            </w:r>
            <w:r>
              <w:rPr>
                <w:sz w:val="19"/>
              </w:rPr>
              <w:t xml:space="preserve"> Der Gesamtbeitrag der </w:t>
            </w:r>
            <w:proofErr w:type="spellStart"/>
            <w:r>
              <w:rPr>
                <w:sz w:val="19"/>
              </w:rPr>
              <w:t>ausgleichspfli</w:t>
            </w:r>
            <w:r>
              <w:rPr>
                <w:sz w:val="19"/>
              </w:rPr>
              <w:t>chtigen</w:t>
            </w:r>
            <w:proofErr w:type="spellEnd"/>
            <w:r>
              <w:rPr>
                <w:sz w:val="19"/>
              </w:rPr>
              <w:t xml:space="preserve"> Einwohnergemeinden in den Ressourcenausgleich entspricht der Beitragssumme</w:t>
            </w:r>
            <w:r>
              <w:rPr>
                <w:strike/>
                <w:sz w:val="19"/>
              </w:rPr>
              <w:t>,</w:t>
            </w:r>
            <w:r>
              <w:rPr>
                <w:sz w:val="19"/>
              </w:rPr>
              <w:t xml:space="preserve"> die benötigt wird, </w:t>
            </w:r>
            <w:r>
              <w:rPr>
                <w:strike/>
                <w:sz w:val="19"/>
              </w:rPr>
              <w:t xml:space="preserve">damit </w:t>
            </w:r>
            <w:proofErr w:type="gramStart"/>
            <w:r>
              <w:rPr>
                <w:strike/>
                <w:sz w:val="19"/>
              </w:rPr>
              <w:t>alle</w:t>
            </w:r>
            <w:proofErr w:type="gramEnd"/>
            <w:r>
              <w:rPr>
                <w:strike/>
                <w:sz w:val="19"/>
              </w:rPr>
              <w:t xml:space="preserve"> </w:t>
            </w:r>
            <w:r>
              <w:rPr>
                <w:sz w:val="19"/>
              </w:rPr>
              <w:t>​</w:t>
            </w:r>
            <w:r>
              <w:rPr>
                <w:sz w:val="19"/>
                <w:u w:val="single"/>
              </w:rPr>
              <w:t xml:space="preserve">um den Ausgleichsbeitrag zu finanzieren. Die </w:t>
            </w:r>
            <w:proofErr w:type="spellStart"/>
            <w:r>
              <w:rPr>
                <w:sz w:val="19"/>
                <w:u w:val="single"/>
              </w:rPr>
              <w:t>ausgleichspflichtigen</w:t>
            </w:r>
            <w:proofErr w:type="spellEnd"/>
            <w:r>
              <w:rPr>
                <w:sz w:val="19"/>
                <w:u w:val="single"/>
              </w:rPr>
              <w:t xml:space="preserve"> </w:t>
            </w:r>
            <w:r>
              <w:rPr>
                <w:sz w:val="19"/>
              </w:rPr>
              <w:t xml:space="preserve">Einwohnergemeinden </w:t>
            </w:r>
            <w:r>
              <w:rPr>
                <w:strike/>
                <w:sz w:val="19"/>
              </w:rPr>
              <w:t>die Mindestausstattung gemäss Art. 5 dieses Gesetzes er</w:t>
            </w:r>
            <w:r>
              <w:rPr>
                <w:strike/>
                <w:sz w:val="19"/>
              </w:rPr>
              <w:t>reichen</w:t>
            </w:r>
            <w:r>
              <w:rPr>
                <w:sz w:val="19"/>
              </w:rPr>
              <w:t>​</w:t>
            </w:r>
            <w:r>
              <w:rPr>
                <w:sz w:val="19"/>
                <w:u w:val="single"/>
              </w:rPr>
              <w:t>beteiligen sich im Verhältnis ihrer Ressourcenpotenziale an der Finanzierung</w:t>
            </w:r>
            <w:r>
              <w:rPr>
                <w:sz w:val="19"/>
              </w:rPr>
              <w:t>.</w:t>
            </w:r>
          </w:p>
        </w:tc>
        <w:tc>
          <w:tcPr>
            <w:tcW w:w="4952" w:type="dxa"/>
            <w:tcBorders>
              <w:left w:val="single" w:sz="4" w:space="0" w:color="000000"/>
              <w:right w:val="single" w:sz="4" w:space="0" w:color="000000"/>
            </w:tcBorders>
            <w:shd w:val="clear" w:color="auto" w:fill="auto"/>
          </w:tcPr>
          <w:p w14:paraId="2E23CBD5" w14:textId="77777777" w:rsidR="00CC2559" w:rsidRDefault="00CC2559"/>
        </w:tc>
      </w:tr>
      <w:tr w:rsidR="00CC2559" w14:paraId="0788875D" w14:textId="77777777">
        <w:trPr>
          <w:cantSplit/>
        </w:trPr>
        <w:tc>
          <w:tcPr>
            <w:tcW w:w="4951" w:type="dxa"/>
            <w:tcBorders>
              <w:left w:val="single" w:sz="4" w:space="0" w:color="000000"/>
            </w:tcBorders>
            <w:shd w:val="clear" w:color="auto" w:fill="auto"/>
          </w:tcPr>
          <w:p w14:paraId="3B708B70" w14:textId="77777777" w:rsidR="00CC2559" w:rsidRDefault="0037085D">
            <w:pPr>
              <w:pStyle w:val="TableContents"/>
            </w:pPr>
            <w:r>
              <w:rPr>
                <w:sz w:val="19"/>
                <w:vertAlign w:val="superscript"/>
              </w:rPr>
              <w:t>3</w:t>
            </w:r>
            <w:r>
              <w:rPr>
                <w:sz w:val="19"/>
              </w:rPr>
              <w:t xml:space="preserve"> Der Beitrag der </w:t>
            </w:r>
            <w:proofErr w:type="spellStart"/>
            <w:r>
              <w:rPr>
                <w:sz w:val="19"/>
              </w:rPr>
              <w:t>ausgleichspflichtigen</w:t>
            </w:r>
            <w:proofErr w:type="spellEnd"/>
            <w:r>
              <w:rPr>
                <w:sz w:val="19"/>
              </w:rPr>
              <w:t xml:space="preserve"> Einwohnergemeinde richtet sich nach dem Verhältnis der Differenz des Ressourcenpotenzials der </w:t>
            </w:r>
            <w:proofErr w:type="spellStart"/>
            <w:r>
              <w:rPr>
                <w:sz w:val="19"/>
              </w:rPr>
              <w:t>ausgleichspflichtigen</w:t>
            </w:r>
            <w:proofErr w:type="spellEnd"/>
            <w:r>
              <w:rPr>
                <w:sz w:val="19"/>
              </w:rPr>
              <w:t xml:space="preserve"> Einwohnergemeinden und 95 Prozent des durchschnittlichen Ressourcenpotenzials aller Einwohnergemeinden multipliziert mit der Anzahl Einwohner.</w:t>
            </w:r>
          </w:p>
        </w:tc>
        <w:tc>
          <w:tcPr>
            <w:tcW w:w="4951" w:type="dxa"/>
            <w:tcBorders>
              <w:left w:val="single" w:sz="4" w:space="0" w:color="000000"/>
            </w:tcBorders>
            <w:shd w:val="clear" w:color="auto" w:fill="auto"/>
          </w:tcPr>
          <w:p w14:paraId="67A2280B" w14:textId="77777777" w:rsidR="00CC2559" w:rsidRDefault="0037085D">
            <w:pPr>
              <w:pStyle w:val="TableContents"/>
            </w:pPr>
            <w:r>
              <w:rPr>
                <w:sz w:val="19"/>
                <w:vertAlign w:val="superscript"/>
              </w:rPr>
              <w:t>3</w:t>
            </w:r>
            <w:r>
              <w:rPr>
                <w:sz w:val="19"/>
              </w:rPr>
              <w:t> </w:t>
            </w:r>
            <w:r>
              <w:rPr>
                <w:i/>
                <w:iCs/>
                <w:sz w:val="19"/>
              </w:rPr>
              <w:t>Aufgehoben</w:t>
            </w:r>
          </w:p>
        </w:tc>
        <w:tc>
          <w:tcPr>
            <w:tcW w:w="4952" w:type="dxa"/>
            <w:tcBorders>
              <w:left w:val="single" w:sz="4" w:space="0" w:color="000000"/>
              <w:right w:val="single" w:sz="4" w:space="0" w:color="000000"/>
            </w:tcBorders>
            <w:shd w:val="clear" w:color="auto" w:fill="auto"/>
          </w:tcPr>
          <w:p w14:paraId="52E71E76" w14:textId="77777777" w:rsidR="00CC2559" w:rsidRDefault="00CC2559"/>
        </w:tc>
      </w:tr>
      <w:tr w:rsidR="00CC2559" w14:paraId="59164BDE" w14:textId="77777777">
        <w:trPr>
          <w:cantSplit/>
        </w:trPr>
        <w:tc>
          <w:tcPr>
            <w:tcW w:w="4951" w:type="dxa"/>
            <w:tcBorders>
              <w:top w:val="single" w:sz="4" w:space="0" w:color="000000"/>
              <w:left w:val="single" w:sz="4" w:space="0" w:color="000000"/>
            </w:tcBorders>
            <w:shd w:val="clear" w:color="auto" w:fill="auto"/>
          </w:tcPr>
          <w:p w14:paraId="1BBD9CE1" w14:textId="77777777" w:rsidR="00CC2559" w:rsidRDefault="0037085D">
            <w:pPr>
              <w:pStyle w:val="TableContents"/>
            </w:pPr>
            <w:r>
              <w:rPr>
                <w:b/>
                <w:bCs/>
                <w:sz w:val="19"/>
              </w:rPr>
              <w:t>Art.  10</w:t>
            </w:r>
            <w:r>
              <w:rPr>
                <w:sz w:val="19"/>
              </w:rPr>
              <w:br/>
            </w:r>
            <w:r>
              <w:rPr>
                <w:sz w:val="16"/>
              </w:rPr>
              <w:t>Dotation, Anpassung und Finanzierung des Lastenausgleichs</w:t>
            </w:r>
          </w:p>
        </w:tc>
        <w:tc>
          <w:tcPr>
            <w:tcW w:w="4951" w:type="dxa"/>
            <w:tcBorders>
              <w:top w:val="single" w:sz="4" w:space="0" w:color="000000"/>
              <w:left w:val="single" w:sz="4" w:space="0" w:color="000000"/>
            </w:tcBorders>
            <w:shd w:val="clear" w:color="auto" w:fill="auto"/>
          </w:tcPr>
          <w:p w14:paraId="54383004" w14:textId="77777777" w:rsidR="00CC2559" w:rsidRDefault="00CC2559">
            <w:pPr>
              <w:pStyle w:val="TableContents"/>
              <w:rPr>
                <w:sz w:val="19"/>
              </w:rPr>
            </w:pPr>
          </w:p>
        </w:tc>
        <w:tc>
          <w:tcPr>
            <w:tcW w:w="4952" w:type="dxa"/>
            <w:tcBorders>
              <w:top w:val="single" w:sz="4" w:space="0" w:color="000000"/>
              <w:left w:val="single" w:sz="4" w:space="0" w:color="000000"/>
              <w:right w:val="single" w:sz="4" w:space="0" w:color="000000"/>
            </w:tcBorders>
            <w:shd w:val="clear" w:color="auto" w:fill="auto"/>
          </w:tcPr>
          <w:p w14:paraId="0A96DFD9" w14:textId="77777777" w:rsidR="00CC2559" w:rsidRDefault="00CC2559"/>
        </w:tc>
      </w:tr>
      <w:tr w:rsidR="00CC2559" w14:paraId="7F916FBD" w14:textId="77777777">
        <w:trPr>
          <w:cantSplit/>
        </w:trPr>
        <w:tc>
          <w:tcPr>
            <w:tcW w:w="4951" w:type="dxa"/>
            <w:tcBorders>
              <w:left w:val="single" w:sz="4" w:space="0" w:color="000000"/>
            </w:tcBorders>
            <w:shd w:val="clear" w:color="auto" w:fill="auto"/>
          </w:tcPr>
          <w:p w14:paraId="47695ACA" w14:textId="77777777" w:rsidR="00CC2559" w:rsidRDefault="0037085D">
            <w:pPr>
              <w:pStyle w:val="TableContents"/>
            </w:pPr>
            <w:r>
              <w:rPr>
                <w:sz w:val="19"/>
                <w:vertAlign w:val="superscript"/>
              </w:rPr>
              <w:t>1</w:t>
            </w:r>
            <w:r>
              <w:rPr>
                <w:sz w:val="19"/>
              </w:rPr>
              <w:t xml:space="preserve"> Der </w:t>
            </w:r>
            <w:r>
              <w:rPr>
                <w:sz w:val="19"/>
              </w:rPr>
              <w:t>Lastenausgleich wird finanziert durch jährliche Beiträge des Kantons in der Höhe von 1,4 Prozent des Nettoertrags der Staatssteuern samt Nebensteuern, mindestens aber mit 1,2 Millionen Franken.</w:t>
            </w:r>
          </w:p>
        </w:tc>
        <w:tc>
          <w:tcPr>
            <w:tcW w:w="4951" w:type="dxa"/>
            <w:tcBorders>
              <w:left w:val="single" w:sz="4" w:space="0" w:color="000000"/>
            </w:tcBorders>
            <w:shd w:val="clear" w:color="auto" w:fill="auto"/>
          </w:tcPr>
          <w:p w14:paraId="2FCCDABD" w14:textId="77777777" w:rsidR="00CC2559" w:rsidRDefault="0037085D">
            <w:pPr>
              <w:pStyle w:val="TableContents"/>
            </w:pPr>
            <w:r>
              <w:rPr>
                <w:sz w:val="19"/>
                <w:vertAlign w:val="superscript"/>
              </w:rPr>
              <w:t>1</w:t>
            </w:r>
            <w:r>
              <w:rPr>
                <w:sz w:val="19"/>
              </w:rPr>
              <w:t xml:space="preserve"> Der Lastenausgleich wird finanziert durch jährliche </w:t>
            </w:r>
            <w:r>
              <w:rPr>
                <w:sz w:val="19"/>
              </w:rPr>
              <w:t>Beiträge des Kantons in der Höhe von 1,</w:t>
            </w:r>
            <w:r>
              <w:rPr>
                <w:strike/>
                <w:sz w:val="19"/>
              </w:rPr>
              <w:t xml:space="preserve">4 Prozent des Nettoertrags </w:t>
            </w:r>
            <w:r>
              <w:rPr>
                <w:sz w:val="19"/>
              </w:rPr>
              <w:t>​</w:t>
            </w:r>
            <w:r>
              <w:rPr>
                <w:sz w:val="19"/>
                <w:u w:val="single"/>
              </w:rPr>
              <w:t xml:space="preserve">6 Millionen Franken. Der Betrag ist indexiert, wobei auf die letzte jeweilige Teuerung per November abgestellt wird (Landesindex </w:t>
            </w:r>
            <w:r>
              <w:rPr>
                <w:sz w:val="19"/>
              </w:rPr>
              <w:t xml:space="preserve">der </w:t>
            </w:r>
            <w:r>
              <w:rPr>
                <w:strike/>
                <w:sz w:val="19"/>
              </w:rPr>
              <w:t xml:space="preserve">Staatssteuern samt Nebensteuern, mindestens aber mit </w:t>
            </w:r>
            <w:r>
              <w:rPr>
                <w:sz w:val="19"/>
              </w:rPr>
              <w:t>​</w:t>
            </w:r>
            <w:r>
              <w:rPr>
                <w:sz w:val="19"/>
                <w:u w:val="single"/>
              </w:rPr>
              <w:t>Ko</w:t>
            </w:r>
            <w:r>
              <w:rPr>
                <w:sz w:val="19"/>
                <w:u w:val="single"/>
              </w:rPr>
              <w:t xml:space="preserve">nsumentenpreise, Basis November 2024). Der Betrag von </w:t>
            </w:r>
            <w:r>
              <w:rPr>
                <w:sz w:val="19"/>
              </w:rPr>
              <w:t>1,</w:t>
            </w:r>
            <w:r>
              <w:rPr>
                <w:strike/>
                <w:sz w:val="19"/>
              </w:rPr>
              <w:t>2</w:t>
            </w:r>
            <w:r>
              <w:rPr>
                <w:sz w:val="19"/>
              </w:rPr>
              <w:t>​</w:t>
            </w:r>
            <w:r>
              <w:rPr>
                <w:sz w:val="19"/>
                <w:u w:val="single"/>
              </w:rPr>
              <w:t>6</w:t>
            </w:r>
            <w:r>
              <w:rPr>
                <w:sz w:val="19"/>
              </w:rPr>
              <w:t xml:space="preserve"> Millionen Franken</w:t>
            </w:r>
            <w:r>
              <w:rPr>
                <w:sz w:val="19"/>
                <w:u w:val="single"/>
              </w:rPr>
              <w:t xml:space="preserve"> darf dabei nicht unterschritten werden, vorbehalten bleibt eine Kürzung aufgrund von Absatz 4</w:t>
            </w:r>
            <w:r>
              <w:rPr>
                <w:sz w:val="19"/>
              </w:rPr>
              <w:t>.</w:t>
            </w:r>
          </w:p>
        </w:tc>
        <w:tc>
          <w:tcPr>
            <w:tcW w:w="4952" w:type="dxa"/>
            <w:tcBorders>
              <w:left w:val="single" w:sz="4" w:space="0" w:color="000000"/>
              <w:right w:val="single" w:sz="4" w:space="0" w:color="000000"/>
            </w:tcBorders>
            <w:shd w:val="clear" w:color="auto" w:fill="auto"/>
          </w:tcPr>
          <w:p w14:paraId="60F058F4" w14:textId="77777777" w:rsidR="00CC2559" w:rsidRDefault="00CC2559"/>
        </w:tc>
      </w:tr>
      <w:tr w:rsidR="00CC2559" w14:paraId="5D008478" w14:textId="77777777">
        <w:trPr>
          <w:cantSplit/>
        </w:trPr>
        <w:tc>
          <w:tcPr>
            <w:tcW w:w="4951" w:type="dxa"/>
            <w:tcBorders>
              <w:left w:val="single" w:sz="4" w:space="0" w:color="000000"/>
            </w:tcBorders>
            <w:shd w:val="clear" w:color="auto" w:fill="auto"/>
          </w:tcPr>
          <w:p w14:paraId="0978A378" w14:textId="77777777" w:rsidR="00CC2559" w:rsidRDefault="0037085D">
            <w:pPr>
              <w:pStyle w:val="TableContents"/>
            </w:pPr>
            <w:r>
              <w:rPr>
                <w:sz w:val="19"/>
                <w:vertAlign w:val="superscript"/>
              </w:rPr>
              <w:t>2</w:t>
            </w:r>
            <w:r>
              <w:rPr>
                <w:sz w:val="19"/>
              </w:rPr>
              <w:t xml:space="preserve"> Auszugleichen ist die Unterdeckung, die sich aus der Differenz des </w:t>
            </w:r>
            <w:r>
              <w:rPr>
                <w:sz w:val="19"/>
              </w:rPr>
              <w:t>Normaufwands einer Einwohnergemeinde zum Durchschnittsnormaufwand pro Einwohner aller Gemeinden, multipliziert mit der Einwohnerzahl der ausgleichsberechtigten Einwohnergemeinde, ergibt.</w:t>
            </w:r>
          </w:p>
        </w:tc>
        <w:tc>
          <w:tcPr>
            <w:tcW w:w="4951" w:type="dxa"/>
            <w:tcBorders>
              <w:left w:val="single" w:sz="4" w:space="0" w:color="000000"/>
            </w:tcBorders>
            <w:shd w:val="clear" w:color="auto" w:fill="auto"/>
          </w:tcPr>
          <w:p w14:paraId="7423E52B" w14:textId="77777777" w:rsidR="00CC2559" w:rsidRDefault="0037085D">
            <w:pPr>
              <w:pStyle w:val="TableContents"/>
            </w:pPr>
            <w:r>
              <w:rPr>
                <w:sz w:val="19"/>
                <w:vertAlign w:val="superscript"/>
              </w:rPr>
              <w:t>2</w:t>
            </w:r>
            <w:r>
              <w:rPr>
                <w:sz w:val="19"/>
              </w:rPr>
              <w:t xml:space="preserve"> Auszugleichen ist die Unterdeckung, die sich aus der Differenz des </w:t>
            </w:r>
            <w:r>
              <w:rPr>
                <w:sz w:val="19"/>
              </w:rPr>
              <w:t xml:space="preserve">Normaufwands einer Einwohnergemeinde zum Durchschnittsnormaufwand pro Einwohner aller Gemeinden, multipliziert mit der Einwohnerzahl </w:t>
            </w:r>
            <w:r>
              <w:rPr>
                <w:sz w:val="19"/>
                <w:u w:val="single"/>
              </w:rPr>
              <w:t xml:space="preserve">(ständige Wohnbevölkerung) </w:t>
            </w:r>
            <w:r>
              <w:rPr>
                <w:sz w:val="19"/>
              </w:rPr>
              <w:t>der ausgleichsberechtigten Einwohnergemeinde, ergibt.</w:t>
            </w:r>
          </w:p>
        </w:tc>
        <w:tc>
          <w:tcPr>
            <w:tcW w:w="4952" w:type="dxa"/>
            <w:tcBorders>
              <w:left w:val="single" w:sz="4" w:space="0" w:color="000000"/>
              <w:right w:val="single" w:sz="4" w:space="0" w:color="000000"/>
            </w:tcBorders>
            <w:shd w:val="clear" w:color="auto" w:fill="auto"/>
          </w:tcPr>
          <w:p w14:paraId="201B93C4" w14:textId="77777777" w:rsidR="00CC2559" w:rsidRDefault="00CC2559"/>
        </w:tc>
      </w:tr>
      <w:tr w:rsidR="00CC2559" w14:paraId="55E8ACD5" w14:textId="77777777">
        <w:trPr>
          <w:cantSplit/>
        </w:trPr>
        <w:tc>
          <w:tcPr>
            <w:tcW w:w="4951" w:type="dxa"/>
            <w:tcBorders>
              <w:left w:val="single" w:sz="4" w:space="0" w:color="000000"/>
            </w:tcBorders>
            <w:shd w:val="clear" w:color="auto" w:fill="auto"/>
          </w:tcPr>
          <w:p w14:paraId="77E6C742" w14:textId="77777777" w:rsidR="00CC2559" w:rsidRDefault="0037085D">
            <w:pPr>
              <w:pStyle w:val="TableContents"/>
            </w:pPr>
            <w:r>
              <w:rPr>
                <w:sz w:val="19"/>
                <w:vertAlign w:val="superscript"/>
              </w:rPr>
              <w:t>3</w:t>
            </w:r>
            <w:r>
              <w:rPr>
                <w:sz w:val="19"/>
              </w:rPr>
              <w:t> Entsprechen die verfügbaren Mittel gem</w:t>
            </w:r>
            <w:r>
              <w:rPr>
                <w:sz w:val="19"/>
              </w:rPr>
              <w:t>äss Absatz 1 nicht dem Lastenausgleich gemäss Absatz 2, so wird der Lastenausgleich der anspruchsberechtigten Einwohnergemeinden anteilsmässig angepasst.</w:t>
            </w:r>
          </w:p>
        </w:tc>
        <w:tc>
          <w:tcPr>
            <w:tcW w:w="4951" w:type="dxa"/>
            <w:tcBorders>
              <w:left w:val="single" w:sz="4" w:space="0" w:color="000000"/>
            </w:tcBorders>
            <w:shd w:val="clear" w:color="auto" w:fill="auto"/>
          </w:tcPr>
          <w:p w14:paraId="6B771CBF" w14:textId="77777777" w:rsidR="00CC2559" w:rsidRDefault="0037085D">
            <w:pPr>
              <w:pStyle w:val="TableContents"/>
            </w:pPr>
            <w:r>
              <w:rPr>
                <w:sz w:val="19"/>
                <w:vertAlign w:val="superscript"/>
              </w:rPr>
              <w:t>3</w:t>
            </w:r>
            <w:r>
              <w:rPr>
                <w:sz w:val="19"/>
              </w:rPr>
              <w:t> </w:t>
            </w:r>
            <w:r>
              <w:rPr>
                <w:strike/>
                <w:sz w:val="19"/>
              </w:rPr>
              <w:t>Entsprechen die verfügbaren Mittel</w:t>
            </w:r>
            <w:r>
              <w:rPr>
                <w:sz w:val="19"/>
              </w:rPr>
              <w:t>​</w:t>
            </w:r>
            <w:r>
              <w:rPr>
                <w:sz w:val="19"/>
                <w:u w:val="single"/>
              </w:rPr>
              <w:t>Übersteigt der errechnete Lastenausgleich</w:t>
            </w:r>
            <w:r>
              <w:rPr>
                <w:sz w:val="19"/>
              </w:rPr>
              <w:t xml:space="preserve"> gemäss Absatz </w:t>
            </w:r>
            <w:r>
              <w:rPr>
                <w:strike/>
                <w:sz w:val="19"/>
              </w:rPr>
              <w:t>1 nicht d</w:t>
            </w:r>
            <w:r>
              <w:rPr>
                <w:strike/>
                <w:sz w:val="19"/>
              </w:rPr>
              <w:t xml:space="preserve">em Lastenausgleich </w:t>
            </w:r>
            <w:r>
              <w:rPr>
                <w:sz w:val="19"/>
              </w:rPr>
              <w:t>​</w:t>
            </w:r>
            <w:r>
              <w:rPr>
                <w:sz w:val="19"/>
                <w:u w:val="single"/>
              </w:rPr>
              <w:t xml:space="preserve">2 die </w:t>
            </w:r>
            <w:r>
              <w:rPr>
                <w:sz w:val="19"/>
              </w:rPr>
              <w:t>gemäss Absatz</w:t>
            </w:r>
            <w:r>
              <w:rPr>
                <w:strike/>
                <w:sz w:val="19"/>
              </w:rPr>
              <w:t> 2</w:t>
            </w:r>
            <w:r>
              <w:rPr>
                <w:sz w:val="19"/>
              </w:rPr>
              <w:t>​</w:t>
            </w:r>
            <w:r>
              <w:rPr>
                <w:sz w:val="19"/>
                <w:u w:val="single"/>
              </w:rPr>
              <w:t xml:space="preserve"> 1 zur Verfügung stehenden Mittel</w:t>
            </w:r>
            <w:r>
              <w:rPr>
                <w:sz w:val="19"/>
              </w:rPr>
              <w:t xml:space="preserve">, so wird der Lastenausgleich der anspruchsberechtigten Einwohnergemeinden anteilsmässig </w:t>
            </w:r>
            <w:r>
              <w:rPr>
                <w:strike/>
                <w:sz w:val="19"/>
              </w:rPr>
              <w:t>angepasst</w:t>
            </w:r>
            <w:r>
              <w:rPr>
                <w:sz w:val="19"/>
              </w:rPr>
              <w:t>​</w:t>
            </w:r>
            <w:r>
              <w:rPr>
                <w:sz w:val="19"/>
                <w:u w:val="single"/>
              </w:rPr>
              <w:t>gekürzt</w:t>
            </w:r>
            <w:r>
              <w:rPr>
                <w:sz w:val="19"/>
              </w:rPr>
              <w:t>.</w:t>
            </w:r>
          </w:p>
        </w:tc>
        <w:tc>
          <w:tcPr>
            <w:tcW w:w="4952" w:type="dxa"/>
            <w:tcBorders>
              <w:left w:val="single" w:sz="4" w:space="0" w:color="000000"/>
              <w:right w:val="single" w:sz="4" w:space="0" w:color="000000"/>
            </w:tcBorders>
            <w:shd w:val="clear" w:color="auto" w:fill="auto"/>
          </w:tcPr>
          <w:p w14:paraId="5396A945" w14:textId="77777777" w:rsidR="00CC2559" w:rsidRDefault="00CC2559"/>
        </w:tc>
      </w:tr>
      <w:tr w:rsidR="00CC2559" w14:paraId="34C87805" w14:textId="77777777">
        <w:trPr>
          <w:cantSplit/>
        </w:trPr>
        <w:tc>
          <w:tcPr>
            <w:tcW w:w="4951" w:type="dxa"/>
            <w:tcBorders>
              <w:left w:val="single" w:sz="4" w:space="0" w:color="000000"/>
            </w:tcBorders>
            <w:shd w:val="clear" w:color="auto" w:fill="auto"/>
          </w:tcPr>
          <w:p w14:paraId="5A3B4F61" w14:textId="77777777" w:rsidR="00CC2559" w:rsidRDefault="0037085D">
            <w:pPr>
              <w:pStyle w:val="TableContents"/>
            </w:pPr>
            <w:r>
              <w:rPr>
                <w:sz w:val="19"/>
                <w:vertAlign w:val="superscript"/>
              </w:rPr>
              <w:t>4</w:t>
            </w:r>
            <w:r>
              <w:rPr>
                <w:sz w:val="19"/>
              </w:rPr>
              <w:t> Übersteigen die verfügbaren Mittel gemäss Absatz 1 die auszugleichend</w:t>
            </w:r>
            <w:r>
              <w:rPr>
                <w:sz w:val="19"/>
              </w:rPr>
              <w:t>e Unterdeckung gemäss Absatz 2, so wird mit dem Überschuss der Strukturausgleich gemäss Art. 13 dieses Gesetzes aufgestockt.</w:t>
            </w:r>
          </w:p>
        </w:tc>
        <w:tc>
          <w:tcPr>
            <w:tcW w:w="4951" w:type="dxa"/>
            <w:tcBorders>
              <w:left w:val="single" w:sz="4" w:space="0" w:color="000000"/>
            </w:tcBorders>
            <w:shd w:val="clear" w:color="auto" w:fill="auto"/>
          </w:tcPr>
          <w:p w14:paraId="30611A93" w14:textId="77777777" w:rsidR="00CC2559" w:rsidRDefault="0037085D">
            <w:pPr>
              <w:pStyle w:val="TableContents"/>
            </w:pPr>
            <w:r>
              <w:rPr>
                <w:sz w:val="19"/>
                <w:vertAlign w:val="superscript"/>
              </w:rPr>
              <w:t>4</w:t>
            </w:r>
            <w:r>
              <w:rPr>
                <w:sz w:val="19"/>
              </w:rPr>
              <w:t> Übersteigen die verfügbaren Mittel gemäss Absatz 1 die auszugleichende Unterdeckung gemäss Absatz</w:t>
            </w:r>
            <w:r>
              <w:rPr>
                <w:strike/>
                <w:sz w:val="19"/>
              </w:rPr>
              <w:t> </w:t>
            </w:r>
            <w:r>
              <w:rPr>
                <w:sz w:val="19"/>
              </w:rPr>
              <w:t>​</w:t>
            </w:r>
            <w:r>
              <w:rPr>
                <w:sz w:val="19"/>
                <w:u w:val="single"/>
              </w:rPr>
              <w:t xml:space="preserve"> </w:t>
            </w:r>
            <w:r>
              <w:rPr>
                <w:sz w:val="19"/>
              </w:rPr>
              <w:t xml:space="preserve">2, so wird </w:t>
            </w:r>
            <w:r>
              <w:rPr>
                <w:strike/>
                <w:sz w:val="19"/>
              </w:rPr>
              <w:t>mit dem Überschuss</w:t>
            </w:r>
            <w:r>
              <w:rPr>
                <w:strike/>
                <w:sz w:val="19"/>
              </w:rPr>
              <w:t xml:space="preserve"> </w:t>
            </w:r>
            <w:r>
              <w:rPr>
                <w:sz w:val="19"/>
              </w:rPr>
              <w:t>​</w:t>
            </w:r>
            <w:r>
              <w:rPr>
                <w:sz w:val="19"/>
                <w:u w:val="single"/>
              </w:rPr>
              <w:t xml:space="preserve">maximal </w:t>
            </w:r>
            <w:r>
              <w:rPr>
                <w:sz w:val="19"/>
              </w:rPr>
              <w:t xml:space="preserve">der </w:t>
            </w:r>
            <w:r>
              <w:rPr>
                <w:strike/>
                <w:sz w:val="19"/>
              </w:rPr>
              <w:t>Strukturausgleich gemäss Art. 13 dieses Gesetzes aufgestockt</w:t>
            </w:r>
            <w:r>
              <w:rPr>
                <w:sz w:val="19"/>
              </w:rPr>
              <w:t>​</w:t>
            </w:r>
            <w:r>
              <w:rPr>
                <w:sz w:val="19"/>
                <w:u w:val="single"/>
              </w:rPr>
              <w:t>für den Ausgleich der Unterdeckung benötigte Betrag ausgeschüttet</w:t>
            </w:r>
            <w:r>
              <w:rPr>
                <w:sz w:val="19"/>
              </w:rPr>
              <w:t>.</w:t>
            </w:r>
          </w:p>
        </w:tc>
        <w:tc>
          <w:tcPr>
            <w:tcW w:w="4952" w:type="dxa"/>
            <w:tcBorders>
              <w:left w:val="single" w:sz="4" w:space="0" w:color="000000"/>
              <w:right w:val="single" w:sz="4" w:space="0" w:color="000000"/>
            </w:tcBorders>
            <w:shd w:val="clear" w:color="auto" w:fill="auto"/>
          </w:tcPr>
          <w:p w14:paraId="1845472E" w14:textId="77777777" w:rsidR="00CC2559" w:rsidRDefault="00CC2559"/>
        </w:tc>
      </w:tr>
      <w:tr w:rsidR="00CC2559" w14:paraId="087F7978" w14:textId="77777777">
        <w:trPr>
          <w:cantSplit/>
        </w:trPr>
        <w:tc>
          <w:tcPr>
            <w:tcW w:w="4951" w:type="dxa"/>
            <w:tcBorders>
              <w:top w:val="single" w:sz="4" w:space="0" w:color="000000"/>
              <w:left w:val="single" w:sz="4" w:space="0" w:color="000000"/>
            </w:tcBorders>
            <w:shd w:val="clear" w:color="auto" w:fill="auto"/>
          </w:tcPr>
          <w:p w14:paraId="09B11629" w14:textId="77777777" w:rsidR="00CC2559" w:rsidRDefault="0037085D">
            <w:pPr>
              <w:pStyle w:val="TableContents"/>
            </w:pPr>
            <w:r>
              <w:rPr>
                <w:b/>
                <w:bCs/>
                <w:sz w:val="19"/>
              </w:rPr>
              <w:t>Art.  12</w:t>
            </w:r>
            <w:r>
              <w:rPr>
                <w:sz w:val="19"/>
              </w:rPr>
              <w:br/>
            </w:r>
            <w:r>
              <w:rPr>
                <w:sz w:val="16"/>
              </w:rPr>
              <w:t>Kriterien für den Strukturausgleich</w:t>
            </w:r>
          </w:p>
        </w:tc>
        <w:tc>
          <w:tcPr>
            <w:tcW w:w="4951" w:type="dxa"/>
            <w:tcBorders>
              <w:top w:val="single" w:sz="4" w:space="0" w:color="000000"/>
              <w:left w:val="single" w:sz="4" w:space="0" w:color="000000"/>
            </w:tcBorders>
            <w:shd w:val="clear" w:color="auto" w:fill="auto"/>
          </w:tcPr>
          <w:p w14:paraId="69ABDB2A" w14:textId="77777777" w:rsidR="00CC2559" w:rsidRDefault="00CC2559">
            <w:pPr>
              <w:pStyle w:val="TableContents"/>
              <w:rPr>
                <w:sz w:val="19"/>
              </w:rPr>
            </w:pPr>
          </w:p>
        </w:tc>
        <w:tc>
          <w:tcPr>
            <w:tcW w:w="4952" w:type="dxa"/>
            <w:tcBorders>
              <w:top w:val="single" w:sz="4" w:space="0" w:color="000000"/>
              <w:left w:val="single" w:sz="4" w:space="0" w:color="000000"/>
              <w:right w:val="single" w:sz="4" w:space="0" w:color="000000"/>
            </w:tcBorders>
            <w:shd w:val="clear" w:color="auto" w:fill="auto"/>
          </w:tcPr>
          <w:p w14:paraId="0103C3E9" w14:textId="77777777" w:rsidR="00CC2559" w:rsidRDefault="00CC2559"/>
        </w:tc>
      </w:tr>
      <w:tr w:rsidR="00CC2559" w14:paraId="138BAFA1" w14:textId="77777777">
        <w:trPr>
          <w:cantSplit/>
        </w:trPr>
        <w:tc>
          <w:tcPr>
            <w:tcW w:w="4951" w:type="dxa"/>
            <w:tcBorders>
              <w:left w:val="single" w:sz="4" w:space="0" w:color="000000"/>
            </w:tcBorders>
            <w:shd w:val="clear" w:color="auto" w:fill="auto"/>
          </w:tcPr>
          <w:p w14:paraId="1D63B070" w14:textId="77777777" w:rsidR="00CC2559" w:rsidRDefault="0037085D">
            <w:pPr>
              <w:pStyle w:val="TableContents"/>
            </w:pPr>
            <w:r>
              <w:rPr>
                <w:sz w:val="19"/>
                <w:vertAlign w:val="superscript"/>
              </w:rPr>
              <w:t>1</w:t>
            </w:r>
            <w:r>
              <w:rPr>
                <w:sz w:val="19"/>
              </w:rPr>
              <w:t xml:space="preserve"> Anspruch auf einen Strukturausgleich haben jene </w:t>
            </w:r>
            <w:r>
              <w:rPr>
                <w:sz w:val="19"/>
              </w:rPr>
              <w:t>Einwohnergemeinden, deren Einwohnerzahl tiefer ist als der Durchschnitt aller Einwohnergemeinden.</w:t>
            </w:r>
          </w:p>
        </w:tc>
        <w:tc>
          <w:tcPr>
            <w:tcW w:w="4951" w:type="dxa"/>
            <w:tcBorders>
              <w:left w:val="single" w:sz="4" w:space="0" w:color="000000"/>
            </w:tcBorders>
            <w:shd w:val="clear" w:color="auto" w:fill="auto"/>
          </w:tcPr>
          <w:p w14:paraId="14746E60" w14:textId="77777777" w:rsidR="00CC2559" w:rsidRDefault="0037085D">
            <w:pPr>
              <w:pStyle w:val="TableContents"/>
            </w:pPr>
            <w:r>
              <w:rPr>
                <w:sz w:val="19"/>
                <w:vertAlign w:val="superscript"/>
              </w:rPr>
              <w:t>1</w:t>
            </w:r>
            <w:r>
              <w:rPr>
                <w:sz w:val="19"/>
              </w:rPr>
              <w:t xml:space="preserve"> Anspruch auf einen Strukturausgleich haben jene Einwohnergemeinden, deren Einwohnerzahl </w:t>
            </w:r>
            <w:r>
              <w:rPr>
                <w:sz w:val="19"/>
                <w:u w:val="single"/>
              </w:rPr>
              <w:t xml:space="preserve">(ständige Wohnbevölkerung) </w:t>
            </w:r>
            <w:r>
              <w:rPr>
                <w:sz w:val="19"/>
              </w:rPr>
              <w:t>tiefer ist als der Durchschnitt aller Ein</w:t>
            </w:r>
            <w:r>
              <w:rPr>
                <w:sz w:val="19"/>
              </w:rPr>
              <w:t>wohnergemeinden.</w:t>
            </w:r>
          </w:p>
        </w:tc>
        <w:tc>
          <w:tcPr>
            <w:tcW w:w="4952" w:type="dxa"/>
            <w:tcBorders>
              <w:left w:val="single" w:sz="4" w:space="0" w:color="000000"/>
              <w:right w:val="single" w:sz="4" w:space="0" w:color="000000"/>
            </w:tcBorders>
            <w:shd w:val="clear" w:color="auto" w:fill="auto"/>
          </w:tcPr>
          <w:p w14:paraId="51BB251D" w14:textId="77777777" w:rsidR="00CC2559" w:rsidRDefault="00CC2559"/>
        </w:tc>
      </w:tr>
      <w:tr w:rsidR="00CC2559" w14:paraId="5D72E4F3" w14:textId="77777777">
        <w:trPr>
          <w:cantSplit/>
        </w:trPr>
        <w:tc>
          <w:tcPr>
            <w:tcW w:w="4951" w:type="dxa"/>
            <w:tcBorders>
              <w:left w:val="single" w:sz="4" w:space="0" w:color="000000"/>
            </w:tcBorders>
            <w:shd w:val="clear" w:color="auto" w:fill="auto"/>
          </w:tcPr>
          <w:p w14:paraId="70DD6670" w14:textId="77777777" w:rsidR="00CC2559" w:rsidRDefault="0037085D">
            <w:pPr>
              <w:pStyle w:val="TableContents"/>
            </w:pPr>
            <w:r>
              <w:rPr>
                <w:sz w:val="19"/>
                <w:vertAlign w:val="superscript"/>
              </w:rPr>
              <w:t>2</w:t>
            </w:r>
            <w:r>
              <w:rPr>
                <w:sz w:val="19"/>
              </w:rPr>
              <w:t xml:space="preserve"> Massgebend für die Verteilung des Strukturausgleichs ist die Differenz zwischen der Einwohnerzahl der Einwohnergemeinde und der durchschnittlichen Einwohnerzahl aller Einwohnergemeinden. Der Strukturausgleich wird im Verhältnis dieser </w:t>
            </w:r>
            <w:r>
              <w:rPr>
                <w:sz w:val="19"/>
              </w:rPr>
              <w:t>Differenz auf die berechtigten Einwohnergemeinden verteilt.</w:t>
            </w:r>
          </w:p>
        </w:tc>
        <w:tc>
          <w:tcPr>
            <w:tcW w:w="4951" w:type="dxa"/>
            <w:tcBorders>
              <w:left w:val="single" w:sz="4" w:space="0" w:color="000000"/>
            </w:tcBorders>
            <w:shd w:val="clear" w:color="auto" w:fill="auto"/>
          </w:tcPr>
          <w:p w14:paraId="78AFC44E" w14:textId="77777777" w:rsidR="00CC2559" w:rsidRDefault="00CC2559">
            <w:pPr>
              <w:pStyle w:val="TableContents"/>
              <w:rPr>
                <w:sz w:val="19"/>
              </w:rPr>
            </w:pPr>
          </w:p>
        </w:tc>
        <w:tc>
          <w:tcPr>
            <w:tcW w:w="4952" w:type="dxa"/>
            <w:tcBorders>
              <w:left w:val="single" w:sz="4" w:space="0" w:color="000000"/>
              <w:right w:val="single" w:sz="4" w:space="0" w:color="000000"/>
            </w:tcBorders>
            <w:shd w:val="clear" w:color="auto" w:fill="auto"/>
          </w:tcPr>
          <w:p w14:paraId="0A0ADAA7" w14:textId="77777777" w:rsidR="00CC2559" w:rsidRDefault="00CC2559"/>
        </w:tc>
      </w:tr>
      <w:tr w:rsidR="00CC2559" w14:paraId="3AF9387B" w14:textId="77777777">
        <w:trPr>
          <w:cantSplit/>
        </w:trPr>
        <w:tc>
          <w:tcPr>
            <w:tcW w:w="4951" w:type="dxa"/>
            <w:tcBorders>
              <w:top w:val="single" w:sz="4" w:space="0" w:color="000000"/>
              <w:left w:val="single" w:sz="4" w:space="0" w:color="000000"/>
            </w:tcBorders>
            <w:shd w:val="clear" w:color="auto" w:fill="auto"/>
          </w:tcPr>
          <w:p w14:paraId="1BC62588" w14:textId="77777777" w:rsidR="00CC2559" w:rsidRDefault="0037085D">
            <w:pPr>
              <w:pStyle w:val="TableContents"/>
            </w:pPr>
            <w:r>
              <w:rPr>
                <w:b/>
                <w:bCs/>
                <w:sz w:val="19"/>
              </w:rPr>
              <w:t>Art.  13</w:t>
            </w:r>
            <w:r>
              <w:rPr>
                <w:sz w:val="19"/>
              </w:rPr>
              <w:br/>
            </w:r>
            <w:r>
              <w:rPr>
                <w:sz w:val="16"/>
              </w:rPr>
              <w:t>Dotation, Anpassung und Finanzierung des Strukturausgleichs</w:t>
            </w:r>
          </w:p>
        </w:tc>
        <w:tc>
          <w:tcPr>
            <w:tcW w:w="4951" w:type="dxa"/>
            <w:tcBorders>
              <w:top w:val="single" w:sz="4" w:space="0" w:color="000000"/>
              <w:left w:val="single" w:sz="4" w:space="0" w:color="000000"/>
            </w:tcBorders>
            <w:shd w:val="clear" w:color="auto" w:fill="auto"/>
          </w:tcPr>
          <w:p w14:paraId="1B9A916C" w14:textId="77777777" w:rsidR="00CC2559" w:rsidRDefault="00CC2559">
            <w:pPr>
              <w:pStyle w:val="TableContents"/>
              <w:rPr>
                <w:sz w:val="19"/>
              </w:rPr>
            </w:pPr>
          </w:p>
        </w:tc>
        <w:tc>
          <w:tcPr>
            <w:tcW w:w="4952" w:type="dxa"/>
            <w:tcBorders>
              <w:top w:val="single" w:sz="4" w:space="0" w:color="000000"/>
              <w:left w:val="single" w:sz="4" w:space="0" w:color="000000"/>
              <w:right w:val="single" w:sz="4" w:space="0" w:color="000000"/>
            </w:tcBorders>
            <w:shd w:val="clear" w:color="auto" w:fill="auto"/>
          </w:tcPr>
          <w:p w14:paraId="13C9ACDC" w14:textId="77777777" w:rsidR="00CC2559" w:rsidRDefault="00CC2559"/>
        </w:tc>
      </w:tr>
      <w:tr w:rsidR="00CC2559" w14:paraId="1B97531B" w14:textId="77777777">
        <w:trPr>
          <w:cantSplit/>
        </w:trPr>
        <w:tc>
          <w:tcPr>
            <w:tcW w:w="4951" w:type="dxa"/>
            <w:tcBorders>
              <w:left w:val="single" w:sz="4" w:space="0" w:color="000000"/>
            </w:tcBorders>
            <w:shd w:val="clear" w:color="auto" w:fill="auto"/>
          </w:tcPr>
          <w:p w14:paraId="05F8A83E" w14:textId="77777777" w:rsidR="00CC2559" w:rsidRDefault="0037085D">
            <w:pPr>
              <w:pStyle w:val="TableContents"/>
            </w:pPr>
            <w:r>
              <w:rPr>
                <w:sz w:val="19"/>
                <w:vertAlign w:val="superscript"/>
              </w:rPr>
              <w:t>1</w:t>
            </w:r>
            <w:r>
              <w:rPr>
                <w:sz w:val="19"/>
              </w:rPr>
              <w:t xml:space="preserve"> Der Strukturausgleich wird finanziert durch jährliche Beiträge des Kantons in der Höhe von 2,6 Prozent des </w:t>
            </w:r>
            <w:r>
              <w:rPr>
                <w:sz w:val="19"/>
              </w:rPr>
              <w:t>Nettoertrags der Staatssteuern samt Nebensteuern, mindestens aber mit 2 Millionen Franken.</w:t>
            </w:r>
          </w:p>
        </w:tc>
        <w:tc>
          <w:tcPr>
            <w:tcW w:w="4951" w:type="dxa"/>
            <w:tcBorders>
              <w:left w:val="single" w:sz="4" w:space="0" w:color="000000"/>
            </w:tcBorders>
            <w:shd w:val="clear" w:color="auto" w:fill="auto"/>
          </w:tcPr>
          <w:p w14:paraId="2F5B1908" w14:textId="77777777" w:rsidR="00CC2559" w:rsidRDefault="0037085D">
            <w:pPr>
              <w:pStyle w:val="TableContents"/>
            </w:pPr>
            <w:r>
              <w:rPr>
                <w:sz w:val="19"/>
                <w:vertAlign w:val="superscript"/>
              </w:rPr>
              <w:t>1</w:t>
            </w:r>
            <w:r>
              <w:rPr>
                <w:sz w:val="19"/>
              </w:rPr>
              <w:t> Der Strukturausgleich wird finanziert durch jährliche Beiträge des Kantons in der Höhe von 2,</w:t>
            </w:r>
            <w:r>
              <w:rPr>
                <w:strike/>
                <w:sz w:val="19"/>
              </w:rPr>
              <w:t>6 Prozent des Nettoertrags der Staatssteuern samt Nebensteuern, mindes</w:t>
            </w:r>
            <w:r>
              <w:rPr>
                <w:strike/>
                <w:sz w:val="19"/>
              </w:rPr>
              <w:t>tens aber mit 2</w:t>
            </w:r>
            <w:r>
              <w:rPr>
                <w:sz w:val="19"/>
              </w:rPr>
              <w:t>​</w:t>
            </w:r>
            <w:r>
              <w:rPr>
                <w:sz w:val="19"/>
                <w:u w:val="single"/>
              </w:rPr>
              <w:t>9</w:t>
            </w:r>
            <w:r>
              <w:rPr>
                <w:sz w:val="19"/>
              </w:rPr>
              <w:t xml:space="preserve"> Millionen Franken.</w:t>
            </w:r>
          </w:p>
        </w:tc>
        <w:tc>
          <w:tcPr>
            <w:tcW w:w="4952" w:type="dxa"/>
            <w:tcBorders>
              <w:left w:val="single" w:sz="4" w:space="0" w:color="000000"/>
              <w:right w:val="single" w:sz="4" w:space="0" w:color="000000"/>
            </w:tcBorders>
            <w:shd w:val="clear" w:color="auto" w:fill="auto"/>
          </w:tcPr>
          <w:p w14:paraId="54DC1ED2" w14:textId="77777777" w:rsidR="00CC2559" w:rsidRDefault="00CC2559"/>
        </w:tc>
      </w:tr>
      <w:tr w:rsidR="00CC2559" w14:paraId="7D2D4579" w14:textId="77777777">
        <w:trPr>
          <w:cantSplit/>
        </w:trPr>
        <w:tc>
          <w:tcPr>
            <w:tcW w:w="4951" w:type="dxa"/>
            <w:tcBorders>
              <w:top w:val="single" w:sz="4" w:space="0" w:color="000000"/>
              <w:left w:val="single" w:sz="4" w:space="0" w:color="000000"/>
            </w:tcBorders>
            <w:shd w:val="clear" w:color="auto" w:fill="auto"/>
          </w:tcPr>
          <w:p w14:paraId="175BED1B" w14:textId="77777777" w:rsidR="00CC2559" w:rsidRDefault="0037085D">
            <w:pPr>
              <w:pStyle w:val="TableContents"/>
            </w:pPr>
            <w:r>
              <w:rPr>
                <w:b/>
                <w:bCs/>
                <w:sz w:val="19"/>
              </w:rPr>
              <w:t>Art.  17</w:t>
            </w:r>
            <w:r>
              <w:rPr>
                <w:sz w:val="19"/>
              </w:rPr>
              <w:br/>
            </w:r>
            <w:r>
              <w:rPr>
                <w:sz w:val="16"/>
              </w:rPr>
              <w:t>Übergangsbestimmungen</w:t>
            </w:r>
          </w:p>
        </w:tc>
        <w:tc>
          <w:tcPr>
            <w:tcW w:w="4951" w:type="dxa"/>
            <w:tcBorders>
              <w:top w:val="single" w:sz="4" w:space="0" w:color="000000"/>
              <w:left w:val="single" w:sz="4" w:space="0" w:color="000000"/>
            </w:tcBorders>
            <w:shd w:val="clear" w:color="auto" w:fill="auto"/>
          </w:tcPr>
          <w:p w14:paraId="3CA3E46C" w14:textId="77777777" w:rsidR="00CC2559" w:rsidRDefault="00CC2559">
            <w:pPr>
              <w:pStyle w:val="TableContents"/>
              <w:rPr>
                <w:sz w:val="19"/>
              </w:rPr>
            </w:pPr>
          </w:p>
        </w:tc>
        <w:tc>
          <w:tcPr>
            <w:tcW w:w="4952" w:type="dxa"/>
            <w:tcBorders>
              <w:top w:val="single" w:sz="4" w:space="0" w:color="000000"/>
              <w:left w:val="single" w:sz="4" w:space="0" w:color="000000"/>
              <w:right w:val="single" w:sz="4" w:space="0" w:color="000000"/>
            </w:tcBorders>
            <w:shd w:val="clear" w:color="auto" w:fill="auto"/>
          </w:tcPr>
          <w:p w14:paraId="767EE53D" w14:textId="77777777" w:rsidR="00CC2559" w:rsidRDefault="00CC2559"/>
        </w:tc>
      </w:tr>
      <w:tr w:rsidR="00CC2559" w14:paraId="162FCA7E" w14:textId="77777777">
        <w:trPr>
          <w:cantSplit/>
        </w:trPr>
        <w:tc>
          <w:tcPr>
            <w:tcW w:w="4951" w:type="dxa"/>
            <w:tcBorders>
              <w:left w:val="single" w:sz="4" w:space="0" w:color="000000"/>
            </w:tcBorders>
            <w:shd w:val="clear" w:color="auto" w:fill="auto"/>
          </w:tcPr>
          <w:p w14:paraId="4CCF3DF3" w14:textId="77777777" w:rsidR="00CC2559" w:rsidRDefault="0037085D">
            <w:pPr>
              <w:pStyle w:val="TableContents"/>
            </w:pPr>
            <w:r>
              <w:rPr>
                <w:sz w:val="19"/>
                <w:vertAlign w:val="superscript"/>
              </w:rPr>
              <w:t>1</w:t>
            </w:r>
            <w:r>
              <w:rPr>
                <w:sz w:val="19"/>
              </w:rPr>
              <w:t xml:space="preserve"> Die Beiträge der Einwohnergemeinden gemäss Art. 7 dieses Gesetzes werden während fünf Jahren noch durch den Kanton mitfinanziert. Im ersten Jahr übernimmt der Kanton 50 </w:t>
            </w:r>
            <w:r>
              <w:rPr>
                <w:sz w:val="19"/>
              </w:rPr>
              <w:t>Prozent des Ressourcenausgleichs, im zweiten Jahr 40 Prozent, im dritten Jahr 30 Prozent, im vierten Jahr 20 Prozent und im fünften Jahr 10 Prozent. Durch die Mitfinanzierung des Kantons wird auch die Mindestausstattung nicht vollständig erreicht.</w:t>
            </w:r>
          </w:p>
        </w:tc>
        <w:tc>
          <w:tcPr>
            <w:tcW w:w="4951" w:type="dxa"/>
            <w:tcBorders>
              <w:left w:val="single" w:sz="4" w:space="0" w:color="000000"/>
            </w:tcBorders>
            <w:shd w:val="clear" w:color="auto" w:fill="auto"/>
          </w:tcPr>
          <w:p w14:paraId="45886B05" w14:textId="77777777" w:rsidR="00CC2559" w:rsidRDefault="00CC2559">
            <w:pPr>
              <w:pStyle w:val="TableContents"/>
              <w:rPr>
                <w:sz w:val="19"/>
              </w:rPr>
            </w:pPr>
          </w:p>
        </w:tc>
        <w:tc>
          <w:tcPr>
            <w:tcW w:w="4952" w:type="dxa"/>
            <w:tcBorders>
              <w:left w:val="single" w:sz="4" w:space="0" w:color="000000"/>
              <w:right w:val="single" w:sz="4" w:space="0" w:color="000000"/>
            </w:tcBorders>
            <w:shd w:val="clear" w:color="auto" w:fill="auto"/>
          </w:tcPr>
          <w:p w14:paraId="1D7E6D32" w14:textId="77777777" w:rsidR="00CC2559" w:rsidRDefault="00CC2559"/>
        </w:tc>
      </w:tr>
      <w:tr w:rsidR="00CC2559" w14:paraId="711F0BD9" w14:textId="77777777">
        <w:trPr>
          <w:cantSplit/>
        </w:trPr>
        <w:tc>
          <w:tcPr>
            <w:tcW w:w="4951" w:type="dxa"/>
            <w:tcBorders>
              <w:left w:val="single" w:sz="4" w:space="0" w:color="000000"/>
            </w:tcBorders>
            <w:shd w:val="clear" w:color="auto" w:fill="auto"/>
          </w:tcPr>
          <w:p w14:paraId="42780782" w14:textId="77777777" w:rsidR="00CC2559" w:rsidRDefault="0037085D">
            <w:pPr>
              <w:pStyle w:val="TableContents"/>
            </w:pPr>
            <w:r>
              <w:rPr>
                <w:sz w:val="19"/>
                <w:vertAlign w:val="superscript"/>
              </w:rPr>
              <w:t>2</w:t>
            </w:r>
            <w:r>
              <w:rPr>
                <w:sz w:val="19"/>
              </w:rPr>
              <w:t> Die</w:t>
            </w:r>
            <w:r>
              <w:rPr>
                <w:sz w:val="19"/>
              </w:rPr>
              <w:t xml:space="preserve"> Beiträge des Kantons an den Strukturausgleich gemäss Art. 13 dieses Gesetzes gelten erst ab dem sechsten Jahr nach Inkrafttreten dieses Gesetzes. Im ersten Jahr leistet der Kanton einen Beitrag von 1,5 Millionen Franken, im zweiten Jahr von 1,6 Millionen </w:t>
            </w:r>
            <w:r>
              <w:rPr>
                <w:sz w:val="19"/>
              </w:rPr>
              <w:t>Franken, im dritten Jahr von 1,7 Millionen Franken, im vierten Jahr von 1,8 Millionen Franken und im fünften Jahr von 1,9 Millionen Franken.</w:t>
            </w:r>
          </w:p>
        </w:tc>
        <w:tc>
          <w:tcPr>
            <w:tcW w:w="4951" w:type="dxa"/>
            <w:tcBorders>
              <w:left w:val="single" w:sz="4" w:space="0" w:color="000000"/>
            </w:tcBorders>
            <w:shd w:val="clear" w:color="auto" w:fill="auto"/>
          </w:tcPr>
          <w:p w14:paraId="11C4E7DC" w14:textId="77777777" w:rsidR="00CC2559" w:rsidRDefault="00CC2559">
            <w:pPr>
              <w:pStyle w:val="TableContents"/>
              <w:rPr>
                <w:sz w:val="19"/>
              </w:rPr>
            </w:pPr>
          </w:p>
        </w:tc>
        <w:tc>
          <w:tcPr>
            <w:tcW w:w="4952" w:type="dxa"/>
            <w:tcBorders>
              <w:left w:val="single" w:sz="4" w:space="0" w:color="000000"/>
              <w:right w:val="single" w:sz="4" w:space="0" w:color="000000"/>
            </w:tcBorders>
            <w:shd w:val="clear" w:color="auto" w:fill="auto"/>
          </w:tcPr>
          <w:p w14:paraId="49FFB066" w14:textId="77777777" w:rsidR="00CC2559" w:rsidRDefault="00CC2559"/>
        </w:tc>
      </w:tr>
      <w:tr w:rsidR="00CC2559" w14:paraId="535DC9F8" w14:textId="77777777">
        <w:trPr>
          <w:cantSplit/>
        </w:trPr>
        <w:tc>
          <w:tcPr>
            <w:tcW w:w="4951" w:type="dxa"/>
            <w:tcBorders>
              <w:left w:val="single" w:sz="4" w:space="0" w:color="000000"/>
            </w:tcBorders>
            <w:shd w:val="clear" w:color="auto" w:fill="auto"/>
          </w:tcPr>
          <w:p w14:paraId="4F167905" w14:textId="77777777" w:rsidR="00CC2559" w:rsidRDefault="0037085D">
            <w:pPr>
              <w:pStyle w:val="TableContents"/>
            </w:pPr>
            <w:r>
              <w:rPr>
                <w:sz w:val="19"/>
                <w:vertAlign w:val="superscript"/>
              </w:rPr>
              <w:t>3</w:t>
            </w:r>
            <w:r>
              <w:rPr>
                <w:sz w:val="19"/>
              </w:rPr>
              <w:t xml:space="preserve"> Die Finanzausgleichsbeiträge für das Jahr 2017 werden im Januar 2018 nach den Bestimmungen dieses </w:t>
            </w:r>
            <w:r>
              <w:rPr>
                <w:sz w:val="19"/>
              </w:rPr>
              <w:t>Gesetzes berechnet und ausgerichtet.</w:t>
            </w:r>
          </w:p>
        </w:tc>
        <w:tc>
          <w:tcPr>
            <w:tcW w:w="4951" w:type="dxa"/>
            <w:tcBorders>
              <w:left w:val="single" w:sz="4" w:space="0" w:color="000000"/>
            </w:tcBorders>
            <w:shd w:val="clear" w:color="auto" w:fill="auto"/>
          </w:tcPr>
          <w:p w14:paraId="2C2D91F4" w14:textId="77777777" w:rsidR="00CC2559" w:rsidRDefault="00CC2559">
            <w:pPr>
              <w:pStyle w:val="TableContents"/>
              <w:rPr>
                <w:sz w:val="19"/>
              </w:rPr>
            </w:pPr>
          </w:p>
        </w:tc>
        <w:tc>
          <w:tcPr>
            <w:tcW w:w="4952" w:type="dxa"/>
            <w:tcBorders>
              <w:left w:val="single" w:sz="4" w:space="0" w:color="000000"/>
              <w:right w:val="single" w:sz="4" w:space="0" w:color="000000"/>
            </w:tcBorders>
            <w:shd w:val="clear" w:color="auto" w:fill="auto"/>
          </w:tcPr>
          <w:p w14:paraId="6B450F03" w14:textId="77777777" w:rsidR="00CC2559" w:rsidRDefault="00CC2559"/>
        </w:tc>
      </w:tr>
      <w:tr w:rsidR="00CC2559" w14:paraId="2853CDA7" w14:textId="77777777">
        <w:trPr>
          <w:cantSplit/>
        </w:trPr>
        <w:tc>
          <w:tcPr>
            <w:tcW w:w="4951" w:type="dxa"/>
            <w:tcBorders>
              <w:left w:val="single" w:sz="4" w:space="0" w:color="000000"/>
            </w:tcBorders>
            <w:shd w:val="clear" w:color="auto" w:fill="auto"/>
          </w:tcPr>
          <w:p w14:paraId="501A0DE1" w14:textId="77777777" w:rsidR="00CC2559" w:rsidRDefault="0037085D">
            <w:pPr>
              <w:pStyle w:val="TableContents"/>
            </w:pPr>
            <w:r>
              <w:rPr>
                <w:sz w:val="19"/>
                <w:vertAlign w:val="superscript"/>
              </w:rPr>
              <w:t>4</w:t>
            </w:r>
            <w:r>
              <w:rPr>
                <w:sz w:val="19"/>
              </w:rPr>
              <w:t> Der Ressourcenausgleich für das Jahr 2020 wird im Januar 2021 nach den Bestimmungen des Nachtrags vom 26. Juni 2020 berechnet und ausgerichtet.</w:t>
            </w:r>
          </w:p>
        </w:tc>
        <w:tc>
          <w:tcPr>
            <w:tcW w:w="4951" w:type="dxa"/>
            <w:tcBorders>
              <w:left w:val="single" w:sz="4" w:space="0" w:color="000000"/>
            </w:tcBorders>
            <w:shd w:val="clear" w:color="auto" w:fill="auto"/>
          </w:tcPr>
          <w:p w14:paraId="129341F7" w14:textId="77777777" w:rsidR="00CC2559" w:rsidRDefault="00CC2559">
            <w:pPr>
              <w:pStyle w:val="TableContents"/>
              <w:rPr>
                <w:sz w:val="19"/>
              </w:rPr>
            </w:pPr>
          </w:p>
        </w:tc>
        <w:tc>
          <w:tcPr>
            <w:tcW w:w="4952" w:type="dxa"/>
            <w:tcBorders>
              <w:left w:val="single" w:sz="4" w:space="0" w:color="000000"/>
              <w:right w:val="single" w:sz="4" w:space="0" w:color="000000"/>
            </w:tcBorders>
            <w:shd w:val="clear" w:color="auto" w:fill="auto"/>
          </w:tcPr>
          <w:p w14:paraId="36565050" w14:textId="77777777" w:rsidR="00CC2559" w:rsidRDefault="00CC2559"/>
        </w:tc>
      </w:tr>
      <w:tr w:rsidR="00CC2559" w14:paraId="0D5F3EF1" w14:textId="77777777">
        <w:trPr>
          <w:cantSplit/>
        </w:trPr>
        <w:tc>
          <w:tcPr>
            <w:tcW w:w="4951" w:type="dxa"/>
            <w:tcBorders>
              <w:left w:val="single" w:sz="4" w:space="0" w:color="000000"/>
            </w:tcBorders>
            <w:shd w:val="clear" w:color="auto" w:fill="auto"/>
          </w:tcPr>
          <w:p w14:paraId="3205492C" w14:textId="77777777" w:rsidR="00CC2559" w:rsidRDefault="00CC2559">
            <w:pPr>
              <w:pStyle w:val="TableContents"/>
              <w:rPr>
                <w:sz w:val="19"/>
              </w:rPr>
            </w:pPr>
          </w:p>
        </w:tc>
        <w:tc>
          <w:tcPr>
            <w:tcW w:w="4951" w:type="dxa"/>
            <w:tcBorders>
              <w:left w:val="single" w:sz="4" w:space="0" w:color="000000"/>
            </w:tcBorders>
            <w:shd w:val="clear" w:color="auto" w:fill="auto"/>
          </w:tcPr>
          <w:p w14:paraId="0FD4FE18" w14:textId="77777777" w:rsidR="00CC2559" w:rsidRDefault="0037085D">
            <w:pPr>
              <w:pStyle w:val="TableContents"/>
            </w:pPr>
            <w:r>
              <w:rPr>
                <w:sz w:val="19"/>
                <w:vertAlign w:val="superscript"/>
              </w:rPr>
              <w:t>5</w:t>
            </w:r>
            <w:r>
              <w:rPr>
                <w:sz w:val="19"/>
              </w:rPr>
              <w:t> Die Bestimmungen des Nachtrags vom XX.XX.2024 werden erstmals fü</w:t>
            </w:r>
            <w:r>
              <w:rPr>
                <w:sz w:val="19"/>
              </w:rPr>
              <w:t>r das Jahr 2025 angewendet.</w:t>
            </w:r>
          </w:p>
        </w:tc>
        <w:tc>
          <w:tcPr>
            <w:tcW w:w="4952" w:type="dxa"/>
            <w:tcBorders>
              <w:left w:val="single" w:sz="4" w:space="0" w:color="000000"/>
              <w:right w:val="single" w:sz="4" w:space="0" w:color="000000"/>
            </w:tcBorders>
            <w:shd w:val="clear" w:color="auto" w:fill="auto"/>
          </w:tcPr>
          <w:p w14:paraId="7924A1C7" w14:textId="77777777" w:rsidR="00CC2559" w:rsidRDefault="00CC2559"/>
        </w:tc>
      </w:tr>
      <w:tr w:rsidR="00CC2559" w14:paraId="493F023D" w14:textId="77777777">
        <w:tc>
          <w:tcPr>
            <w:tcW w:w="4951" w:type="dxa"/>
            <w:tcBorders>
              <w:top w:val="single" w:sz="4" w:space="0" w:color="000000"/>
              <w:left w:val="single" w:sz="4" w:space="0" w:color="000000"/>
            </w:tcBorders>
            <w:shd w:val="clear" w:color="auto" w:fill="AAFFAA"/>
          </w:tcPr>
          <w:p w14:paraId="19FE498B" w14:textId="77777777" w:rsidR="00CC2559" w:rsidRDefault="00CC2559"/>
        </w:tc>
        <w:tc>
          <w:tcPr>
            <w:tcW w:w="4951" w:type="dxa"/>
            <w:tcBorders>
              <w:top w:val="single" w:sz="4" w:space="0" w:color="000000"/>
              <w:left w:val="single" w:sz="4" w:space="0" w:color="000000"/>
            </w:tcBorders>
            <w:shd w:val="clear" w:color="auto" w:fill="AAFFAA"/>
          </w:tcPr>
          <w:p w14:paraId="4B58107E" w14:textId="77777777" w:rsidR="00CC2559" w:rsidRDefault="0037085D">
            <w:pPr>
              <w:pStyle w:val="Abschnittstitel"/>
            </w:pPr>
            <w:r>
              <w:t>II.</w:t>
            </w:r>
          </w:p>
        </w:tc>
        <w:tc>
          <w:tcPr>
            <w:tcW w:w="4952" w:type="dxa"/>
            <w:tcBorders>
              <w:top w:val="single" w:sz="4" w:space="0" w:color="000000"/>
              <w:left w:val="single" w:sz="4" w:space="0" w:color="000000"/>
              <w:right w:val="single" w:sz="4" w:space="0" w:color="000000"/>
            </w:tcBorders>
            <w:shd w:val="clear" w:color="auto" w:fill="AAFFAA"/>
          </w:tcPr>
          <w:p w14:paraId="0C7D980E" w14:textId="77777777" w:rsidR="00CC2559" w:rsidRDefault="00CC2559"/>
        </w:tc>
      </w:tr>
      <w:tr w:rsidR="00CC2559" w14:paraId="5422E3D2" w14:textId="77777777">
        <w:tc>
          <w:tcPr>
            <w:tcW w:w="4951" w:type="dxa"/>
            <w:tcBorders>
              <w:top w:val="single" w:sz="4" w:space="0" w:color="000000"/>
              <w:left w:val="single" w:sz="4" w:space="0" w:color="000000"/>
            </w:tcBorders>
            <w:shd w:val="clear" w:color="auto" w:fill="auto"/>
          </w:tcPr>
          <w:p w14:paraId="1145BDFF" w14:textId="77777777" w:rsidR="00CC2559" w:rsidRDefault="0037085D">
            <w:pPr>
              <w:pStyle w:val="EmptySectionRemark"/>
            </w:pPr>
            <w:r>
              <w:t>     </w:t>
            </w:r>
          </w:p>
        </w:tc>
        <w:tc>
          <w:tcPr>
            <w:tcW w:w="4951" w:type="dxa"/>
            <w:tcBorders>
              <w:top w:val="single" w:sz="4" w:space="0" w:color="000000"/>
              <w:left w:val="single" w:sz="4" w:space="0" w:color="000000"/>
            </w:tcBorders>
            <w:shd w:val="clear" w:color="auto" w:fill="auto"/>
          </w:tcPr>
          <w:p w14:paraId="3B969F54" w14:textId="77777777" w:rsidR="00CC2559" w:rsidRDefault="0037085D">
            <w:pPr>
              <w:pStyle w:val="EmptySectionRemark"/>
            </w:pPr>
            <w:r>
              <w:t>Keine Fremdänderungen.</w:t>
            </w:r>
          </w:p>
        </w:tc>
        <w:tc>
          <w:tcPr>
            <w:tcW w:w="4952" w:type="dxa"/>
            <w:tcBorders>
              <w:top w:val="single" w:sz="4" w:space="0" w:color="000000"/>
              <w:left w:val="single" w:sz="4" w:space="0" w:color="000000"/>
              <w:right w:val="single" w:sz="4" w:space="0" w:color="000000"/>
            </w:tcBorders>
            <w:shd w:val="clear" w:color="auto" w:fill="auto"/>
          </w:tcPr>
          <w:p w14:paraId="1C6B1C21" w14:textId="77777777" w:rsidR="00CC2559" w:rsidRDefault="0037085D">
            <w:pPr>
              <w:pStyle w:val="EmptySectionRemark"/>
            </w:pPr>
            <w:r>
              <w:t>     </w:t>
            </w:r>
          </w:p>
        </w:tc>
      </w:tr>
      <w:tr w:rsidR="00CC2559" w14:paraId="3D564F41" w14:textId="77777777">
        <w:tc>
          <w:tcPr>
            <w:tcW w:w="4951" w:type="dxa"/>
            <w:tcBorders>
              <w:top w:val="single" w:sz="4" w:space="0" w:color="000000"/>
              <w:left w:val="single" w:sz="4" w:space="0" w:color="000000"/>
            </w:tcBorders>
            <w:shd w:val="clear" w:color="auto" w:fill="AAFFAA"/>
          </w:tcPr>
          <w:p w14:paraId="598AD437" w14:textId="77777777" w:rsidR="00CC2559" w:rsidRDefault="00CC2559"/>
        </w:tc>
        <w:tc>
          <w:tcPr>
            <w:tcW w:w="4951" w:type="dxa"/>
            <w:tcBorders>
              <w:top w:val="single" w:sz="4" w:space="0" w:color="000000"/>
              <w:left w:val="single" w:sz="4" w:space="0" w:color="000000"/>
            </w:tcBorders>
            <w:shd w:val="clear" w:color="auto" w:fill="AAFFAA"/>
          </w:tcPr>
          <w:p w14:paraId="3DFC3585" w14:textId="77777777" w:rsidR="00CC2559" w:rsidRDefault="0037085D">
            <w:pPr>
              <w:pStyle w:val="Abschnittstitel"/>
            </w:pPr>
            <w:r>
              <w:t>III.</w:t>
            </w:r>
          </w:p>
        </w:tc>
        <w:tc>
          <w:tcPr>
            <w:tcW w:w="4952" w:type="dxa"/>
            <w:tcBorders>
              <w:top w:val="single" w:sz="4" w:space="0" w:color="000000"/>
              <w:left w:val="single" w:sz="4" w:space="0" w:color="000000"/>
              <w:right w:val="single" w:sz="4" w:space="0" w:color="000000"/>
            </w:tcBorders>
            <w:shd w:val="clear" w:color="auto" w:fill="AAFFAA"/>
          </w:tcPr>
          <w:p w14:paraId="0F9E0C9B" w14:textId="77777777" w:rsidR="00CC2559" w:rsidRDefault="00CC2559"/>
        </w:tc>
      </w:tr>
      <w:tr w:rsidR="00CC2559" w14:paraId="44F3D4BB" w14:textId="77777777">
        <w:tc>
          <w:tcPr>
            <w:tcW w:w="4951" w:type="dxa"/>
            <w:tcBorders>
              <w:top w:val="single" w:sz="4" w:space="0" w:color="000000"/>
              <w:left w:val="single" w:sz="4" w:space="0" w:color="000000"/>
            </w:tcBorders>
            <w:shd w:val="clear" w:color="auto" w:fill="auto"/>
          </w:tcPr>
          <w:p w14:paraId="332B4C40" w14:textId="77777777" w:rsidR="00CC2559" w:rsidRDefault="0037085D">
            <w:pPr>
              <w:pStyle w:val="EmptySectionRemark"/>
            </w:pPr>
            <w:r>
              <w:t>     </w:t>
            </w:r>
          </w:p>
        </w:tc>
        <w:tc>
          <w:tcPr>
            <w:tcW w:w="4951" w:type="dxa"/>
            <w:tcBorders>
              <w:top w:val="single" w:sz="4" w:space="0" w:color="000000"/>
              <w:left w:val="single" w:sz="4" w:space="0" w:color="000000"/>
            </w:tcBorders>
            <w:shd w:val="clear" w:color="auto" w:fill="auto"/>
          </w:tcPr>
          <w:p w14:paraId="1F1912B6" w14:textId="77777777" w:rsidR="00CC2559" w:rsidRDefault="0037085D">
            <w:pPr>
              <w:pStyle w:val="EmptySectionRemark"/>
            </w:pPr>
            <w:r>
              <w:t>Keine Fremdaufhebungen.</w:t>
            </w:r>
          </w:p>
        </w:tc>
        <w:tc>
          <w:tcPr>
            <w:tcW w:w="4952" w:type="dxa"/>
            <w:tcBorders>
              <w:top w:val="single" w:sz="4" w:space="0" w:color="000000"/>
              <w:left w:val="single" w:sz="4" w:space="0" w:color="000000"/>
              <w:right w:val="single" w:sz="4" w:space="0" w:color="000000"/>
            </w:tcBorders>
            <w:shd w:val="clear" w:color="auto" w:fill="auto"/>
          </w:tcPr>
          <w:p w14:paraId="1FEF9355" w14:textId="77777777" w:rsidR="00CC2559" w:rsidRDefault="0037085D">
            <w:pPr>
              <w:pStyle w:val="EmptySectionRemark"/>
            </w:pPr>
            <w:r>
              <w:t>     </w:t>
            </w:r>
          </w:p>
        </w:tc>
      </w:tr>
      <w:tr w:rsidR="00CC2559" w14:paraId="3FEF4B14" w14:textId="77777777">
        <w:tc>
          <w:tcPr>
            <w:tcW w:w="4951" w:type="dxa"/>
            <w:tcBorders>
              <w:top w:val="single" w:sz="4" w:space="0" w:color="000000"/>
              <w:left w:val="single" w:sz="4" w:space="0" w:color="000000"/>
            </w:tcBorders>
            <w:shd w:val="clear" w:color="auto" w:fill="AAFFAA"/>
          </w:tcPr>
          <w:p w14:paraId="5934F441" w14:textId="77777777" w:rsidR="00CC2559" w:rsidRDefault="00CC2559"/>
        </w:tc>
        <w:tc>
          <w:tcPr>
            <w:tcW w:w="4951" w:type="dxa"/>
            <w:tcBorders>
              <w:top w:val="single" w:sz="4" w:space="0" w:color="000000"/>
              <w:left w:val="single" w:sz="4" w:space="0" w:color="000000"/>
            </w:tcBorders>
            <w:shd w:val="clear" w:color="auto" w:fill="AAFFAA"/>
          </w:tcPr>
          <w:p w14:paraId="5F8B5826" w14:textId="77777777" w:rsidR="00CC2559" w:rsidRDefault="0037085D">
            <w:pPr>
              <w:pStyle w:val="Abschnittstitel"/>
            </w:pPr>
            <w:r>
              <w:t>IV.</w:t>
            </w:r>
          </w:p>
        </w:tc>
        <w:tc>
          <w:tcPr>
            <w:tcW w:w="4952" w:type="dxa"/>
            <w:tcBorders>
              <w:top w:val="single" w:sz="4" w:space="0" w:color="000000"/>
              <w:left w:val="single" w:sz="4" w:space="0" w:color="000000"/>
              <w:right w:val="single" w:sz="4" w:space="0" w:color="000000"/>
            </w:tcBorders>
            <w:shd w:val="clear" w:color="auto" w:fill="AAFFAA"/>
          </w:tcPr>
          <w:p w14:paraId="7FC19147" w14:textId="77777777" w:rsidR="00CC2559" w:rsidRDefault="00CC2559"/>
        </w:tc>
      </w:tr>
      <w:tr w:rsidR="00CC2559" w14:paraId="180991BC" w14:textId="77777777">
        <w:tc>
          <w:tcPr>
            <w:tcW w:w="4951" w:type="dxa"/>
            <w:tcBorders>
              <w:top w:val="single" w:sz="4" w:space="0" w:color="000000"/>
              <w:left w:val="single" w:sz="4" w:space="0" w:color="000000"/>
            </w:tcBorders>
            <w:shd w:val="clear" w:color="auto" w:fill="auto"/>
          </w:tcPr>
          <w:p w14:paraId="5A200286" w14:textId="77777777" w:rsidR="00CC2559" w:rsidRDefault="00CC2559"/>
        </w:tc>
        <w:tc>
          <w:tcPr>
            <w:tcW w:w="4951" w:type="dxa"/>
            <w:tcBorders>
              <w:top w:val="single" w:sz="4" w:space="0" w:color="000000"/>
              <w:left w:val="single" w:sz="4" w:space="0" w:color="000000"/>
            </w:tcBorders>
            <w:shd w:val="clear" w:color="auto" w:fill="auto"/>
          </w:tcPr>
          <w:p w14:paraId="190DBABB" w14:textId="77777777" w:rsidR="00CC2559" w:rsidRDefault="0037085D">
            <w:pPr>
              <w:pStyle w:val="TableContents"/>
            </w:pPr>
            <w:r>
              <w:rPr>
                <w:sz w:val="19"/>
              </w:rPr>
              <w:t>Dieser Nachtrag tritt am 1. Januar 2025 in Kraft. Er untersteht dem fakultativen Referendum.</w:t>
            </w:r>
          </w:p>
        </w:tc>
        <w:tc>
          <w:tcPr>
            <w:tcW w:w="4952" w:type="dxa"/>
            <w:tcBorders>
              <w:top w:val="single" w:sz="4" w:space="0" w:color="000000"/>
              <w:left w:val="single" w:sz="4" w:space="0" w:color="000000"/>
              <w:right w:val="single" w:sz="4" w:space="0" w:color="000000"/>
            </w:tcBorders>
            <w:shd w:val="clear" w:color="auto" w:fill="auto"/>
          </w:tcPr>
          <w:p w14:paraId="3EC14890" w14:textId="77777777" w:rsidR="00CC2559" w:rsidRDefault="00CC2559"/>
        </w:tc>
      </w:tr>
      <w:tr w:rsidR="00CC2559" w14:paraId="14DFF2C5" w14:textId="77777777">
        <w:tc>
          <w:tcPr>
            <w:tcW w:w="4951" w:type="dxa"/>
            <w:tcBorders>
              <w:top w:val="single" w:sz="4" w:space="0" w:color="000000"/>
              <w:left w:val="single" w:sz="4" w:space="0" w:color="000000"/>
            </w:tcBorders>
            <w:shd w:val="clear" w:color="auto" w:fill="auto"/>
          </w:tcPr>
          <w:p w14:paraId="42288F78" w14:textId="77777777" w:rsidR="00CC2559" w:rsidRDefault="00CC2559">
            <w:pPr>
              <w:pStyle w:val="TableContents"/>
              <w:rPr>
                <w:sz w:val="19"/>
              </w:rPr>
            </w:pPr>
          </w:p>
        </w:tc>
        <w:tc>
          <w:tcPr>
            <w:tcW w:w="4951" w:type="dxa"/>
            <w:tcBorders>
              <w:top w:val="single" w:sz="4" w:space="0" w:color="000000"/>
              <w:left w:val="single" w:sz="4" w:space="0" w:color="000000"/>
            </w:tcBorders>
            <w:shd w:val="clear" w:color="auto" w:fill="auto"/>
          </w:tcPr>
          <w:p w14:paraId="2914D4F3" w14:textId="77777777" w:rsidR="00CC2559" w:rsidRDefault="0037085D">
            <w:pPr>
              <w:pStyle w:val="TableContents"/>
            </w:pPr>
            <w:r>
              <w:rPr>
                <w:sz w:val="19"/>
              </w:rPr>
              <w:t>Sarnen, ...</w:t>
            </w:r>
          </w:p>
        </w:tc>
        <w:tc>
          <w:tcPr>
            <w:tcW w:w="4952" w:type="dxa"/>
            <w:tcBorders>
              <w:top w:val="single" w:sz="4" w:space="0" w:color="000000"/>
              <w:left w:val="single" w:sz="4" w:space="0" w:color="000000"/>
              <w:right w:val="single" w:sz="4" w:space="0" w:color="000000"/>
            </w:tcBorders>
            <w:shd w:val="clear" w:color="auto" w:fill="auto"/>
          </w:tcPr>
          <w:p w14:paraId="1F3A2667" w14:textId="77777777" w:rsidR="00CC2559" w:rsidRDefault="00CC2559"/>
        </w:tc>
      </w:tr>
      <w:tr w:rsidR="00CC2559" w14:paraId="71EEE49E" w14:textId="77777777">
        <w:tc>
          <w:tcPr>
            <w:tcW w:w="4951" w:type="dxa"/>
            <w:tcBorders>
              <w:left w:val="single" w:sz="4" w:space="0" w:color="000000"/>
              <w:bottom w:val="single" w:sz="4" w:space="0" w:color="000000"/>
            </w:tcBorders>
            <w:shd w:val="clear" w:color="auto" w:fill="auto"/>
          </w:tcPr>
          <w:p w14:paraId="6E712FA1" w14:textId="77777777" w:rsidR="00CC2559" w:rsidRDefault="00CC2559">
            <w:pPr>
              <w:pStyle w:val="TableContents"/>
              <w:rPr>
                <w:sz w:val="19"/>
              </w:rPr>
            </w:pPr>
          </w:p>
        </w:tc>
        <w:tc>
          <w:tcPr>
            <w:tcW w:w="4951" w:type="dxa"/>
            <w:tcBorders>
              <w:left w:val="single" w:sz="4" w:space="0" w:color="000000"/>
              <w:bottom w:val="single" w:sz="4" w:space="0" w:color="000000"/>
            </w:tcBorders>
            <w:shd w:val="clear" w:color="auto" w:fill="auto"/>
          </w:tcPr>
          <w:p w14:paraId="073D18F2" w14:textId="77777777" w:rsidR="00CC2559" w:rsidRDefault="0037085D">
            <w:pPr>
              <w:pStyle w:val="TableContents"/>
            </w:pPr>
            <w:r>
              <w:rPr>
                <w:sz w:val="19"/>
              </w:rPr>
              <w:t xml:space="preserve">In Namen des </w:t>
            </w:r>
            <w:r>
              <w:rPr>
                <w:sz w:val="19"/>
              </w:rPr>
              <w:t>Kantonsrats</w:t>
            </w:r>
            <w:r>
              <w:rPr>
                <w:sz w:val="19"/>
              </w:rPr>
              <w:br/>
              <w:t>Der Ratspräsident:</w:t>
            </w:r>
            <w:r>
              <w:rPr>
                <w:sz w:val="19"/>
              </w:rPr>
              <w:br/>
              <w:t>Der Ratssekretär:</w:t>
            </w:r>
          </w:p>
        </w:tc>
        <w:tc>
          <w:tcPr>
            <w:tcW w:w="4952" w:type="dxa"/>
            <w:tcBorders>
              <w:left w:val="single" w:sz="4" w:space="0" w:color="000000"/>
              <w:bottom w:val="single" w:sz="4" w:space="0" w:color="000000"/>
              <w:right w:val="single" w:sz="4" w:space="0" w:color="000000"/>
            </w:tcBorders>
            <w:shd w:val="clear" w:color="auto" w:fill="auto"/>
          </w:tcPr>
          <w:p w14:paraId="4DF2AD4B" w14:textId="77777777" w:rsidR="00CC2559" w:rsidRDefault="00CC2559"/>
        </w:tc>
      </w:tr>
    </w:tbl>
    <w:p w14:paraId="74C58173" w14:textId="77777777" w:rsidR="00CC2559" w:rsidRDefault="00CC2559"/>
    <w:sectPr w:rsidR="00CC2559">
      <w:headerReference w:type="even" r:id="rId7"/>
      <w:headerReference w:type="default" r:id="rId8"/>
      <w:footerReference w:type="even" r:id="rId9"/>
      <w:footerReference w:type="default" r:id="rId10"/>
      <w:headerReference w:type="first" r:id="rId11"/>
      <w:footerReference w:type="first" r:id="rId12"/>
      <w:pgSz w:w="16838" w:h="11906" w:orient="landscape"/>
      <w:pgMar w:top="1133" w:right="850" w:bottom="850" w:left="1134" w:header="850" w:footer="567" w:gutter="0"/>
      <w:cols w:space="720"/>
      <w:titlePg/>
      <w:docGrid w:linePitch="245" w:charSpace="9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EAA56" w14:textId="77777777" w:rsidR="0037085D" w:rsidRDefault="0037085D">
      <w:r>
        <w:separator/>
      </w:r>
    </w:p>
  </w:endnote>
  <w:endnote w:type="continuationSeparator" w:id="0">
    <w:p w14:paraId="057DFE42" w14:textId="77777777" w:rsidR="0037085D" w:rsidRDefault="0037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4C81" w14:textId="77777777" w:rsidR="00CC2559" w:rsidRDefault="0037085D">
    <w:pPr>
      <w:pStyle w:val="Fuzeile"/>
    </w:pPr>
    <w:r>
      <w:rPr>
        <w:sz w:val="19"/>
      </w:rPr>
      <w:fldChar w:fldCharType="begin"/>
    </w:r>
    <w:r>
      <w:rPr>
        <w:sz w:val="19"/>
      </w:rPr>
      <w:instrText xml:space="preserve"> PAGE </w:instrText>
    </w:r>
    <w:r>
      <w:rPr>
        <w:sz w:val="19"/>
      </w:rPr>
      <w:fldChar w:fldCharType="separate"/>
    </w:r>
    <w:r>
      <w:rPr>
        <w:sz w:val="19"/>
      </w:rPr>
      <w:t>6</w:t>
    </w:r>
    <w:r>
      <w:rPr>
        <w:sz w:val="19"/>
      </w:rPr>
      <w:fldChar w:fldCharType="end"/>
    </w:r>
    <w:r>
      <w:rPr>
        <w:sz w:val="19"/>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CDC5" w14:textId="77777777" w:rsidR="00CC2559" w:rsidRDefault="0037085D">
    <w:pPr>
      <w:pStyle w:val="Fuzeile"/>
    </w:pPr>
    <w:r>
      <w:rPr>
        <w:sz w:val="19"/>
      </w:rPr>
      <w:fldChar w:fldCharType="begin"/>
    </w:r>
    <w:r>
      <w:rPr>
        <w:sz w:val="19"/>
      </w:rPr>
      <w:instrText xml:space="preserve"> PAGE </w:instrText>
    </w:r>
    <w:r>
      <w:rPr>
        <w:sz w:val="19"/>
      </w:rPr>
      <w:fldChar w:fldCharType="separate"/>
    </w:r>
    <w:r>
      <w:rPr>
        <w:sz w:val="19"/>
      </w:rPr>
      <w:t>7</w:t>
    </w:r>
    <w:r>
      <w:rPr>
        <w:sz w:val="19"/>
      </w:rPr>
      <w:fldChar w:fldCharType="end"/>
    </w:r>
    <w:r>
      <w:rPr>
        <w:sz w:val="19"/>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0D02" w14:textId="77777777" w:rsidR="00CC2559" w:rsidRDefault="00CC25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402F3" w14:textId="77777777" w:rsidR="0037085D" w:rsidRDefault="0037085D">
      <w:r>
        <w:separator/>
      </w:r>
    </w:p>
  </w:footnote>
  <w:footnote w:type="continuationSeparator" w:id="0">
    <w:p w14:paraId="5CE7BCF6" w14:textId="77777777" w:rsidR="0037085D" w:rsidRDefault="00370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06A5" w14:textId="77777777" w:rsidR="00CC2559" w:rsidRDefault="00CC2559">
    <w:pPr>
      <w:pStyle w:val="Kopfzeile"/>
      <w:spacing w:line="240" w:lineRule="exact"/>
      <w:jc w:val="cent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35F75" w14:textId="77777777" w:rsidR="00CC2559" w:rsidRDefault="00CC2559">
    <w:pPr>
      <w:pStyle w:val="Kopfzeile"/>
      <w:spacing w:line="240" w:lineRule="exact"/>
      <w:jc w:val="cente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5A22F" w14:textId="77777777" w:rsidR="00CC2559" w:rsidRDefault="0037085D">
    <w:pPr>
      <w:pStyle w:val="Kopfzeile"/>
      <w:spacing w:line="240" w:lineRule="exact"/>
      <w:jc w:val="center"/>
    </w:pPr>
    <w:r>
      <w:rPr>
        <w:sz w:val="22"/>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Standard"/>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559"/>
    <w:rsid w:val="0037085D"/>
    <w:rsid w:val="00CC255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FBBF39"/>
  <w15:docId w15:val="{0A3F9BB2-7D03-4B36-B31D-F6C74C50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keepLines/>
      <w:widowControl w:val="0"/>
      <w:tabs>
        <w:tab w:val="right" w:pos="14854"/>
      </w:tabs>
    </w:pPr>
    <w:rPr>
      <w:rFonts w:ascii="Arial" w:hAnsi="Arial"/>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ZusammenfassungHauptnderung">
    <w:name w:val="Zusammenfassung Hauptänderung"/>
    <w:rPr>
      <w:b/>
    </w:rPr>
  </w:style>
  <w:style w:type="character" w:customStyle="1" w:styleId="Zusammenfassungnderung">
    <w:name w:val="Zusammenfassung Änderung"/>
  </w:style>
  <w:style w:type="character" w:customStyle="1" w:styleId="Absatz-Standardschriftart1">
    <w:name w:val="Absatz-Standardschriftart1"/>
  </w:style>
  <w:style w:type="character" w:styleId="Hyperlink">
    <w:name w:val="Hyperlink"/>
    <w:rPr>
      <w:color w:val="000000"/>
      <w:u w:val="single"/>
      <w:shd w:val="clear" w:color="auto" w:fill="auto"/>
    </w:rPr>
  </w:style>
  <w:style w:type="character" w:styleId="Funotenzeichen">
    <w:name w:val="footnote reference"/>
    <w:rPr>
      <w:b w:val="0"/>
      <w:shd w:val="clear" w:color="auto" w:fill="auto"/>
      <w:vertAlign w:val="superscript"/>
    </w:rPr>
  </w:style>
  <w:style w:type="character" w:customStyle="1" w:styleId="FootnoteCharacters">
    <w:name w:val="Footnote Characters"/>
    <w:rPr>
      <w:rFonts w:ascii="Arial" w:hAnsi="Arial"/>
      <w:vertAlign w:val="superscript"/>
    </w:rPr>
  </w:style>
  <w:style w:type="paragraph" w:customStyle="1" w:styleId="ZusammenfassungEinleitung">
    <w:name w:val="Zusammenfassung Einleitung"/>
    <w:basedOn w:val="Standard"/>
    <w:pPr>
      <w:keepNext/>
      <w:pBdr>
        <w:top w:val="single" w:sz="4" w:space="7" w:color="000000"/>
        <w:left w:val="none" w:sz="0" w:space="0" w:color="000000"/>
        <w:bottom w:val="none" w:sz="0" w:space="0" w:color="000000"/>
        <w:right w:val="none" w:sz="0" w:space="0" w:color="000000"/>
      </w:pBdr>
      <w:spacing w:after="85"/>
      <w:ind w:left="1259" w:hanging="1259"/>
    </w:pPr>
    <w:rPr>
      <w:position w:val="2"/>
    </w:rPr>
  </w:style>
  <w:style w:type="paragraph" w:customStyle="1" w:styleId="ZusammenfassungneueErlasse">
    <w:name w:val="Zusammenfassung neue Erlasse"/>
    <w:basedOn w:val="Standard"/>
    <w:pPr>
      <w:keepNext/>
      <w:tabs>
        <w:tab w:val="clear" w:pos="14854"/>
        <w:tab w:val="left" w:pos="2518"/>
      </w:tabs>
      <w:spacing w:line="232" w:lineRule="exact"/>
      <w:ind w:left="1259" w:hanging="1259"/>
    </w:pPr>
    <w:rPr>
      <w:position w:val="2"/>
    </w:rPr>
  </w:style>
  <w:style w:type="paragraph" w:customStyle="1" w:styleId="ZusammenfassunggenderteErlasse">
    <w:name w:val="Zusammenfassung geänderte Erlasse"/>
    <w:basedOn w:val="ZusammenfassungneueErlasse"/>
  </w:style>
  <w:style w:type="paragraph" w:customStyle="1" w:styleId="ZusammenfassungaufgehobeneErlasse">
    <w:name w:val="Zusammenfassung aufgehobene Erlasse"/>
    <w:basedOn w:val="ZusammenfassungneueErlasse"/>
    <w:pPr>
      <w:pBdr>
        <w:top w:val="none" w:sz="0" w:space="0" w:color="000000"/>
        <w:left w:val="none" w:sz="0" w:space="0" w:color="000000"/>
        <w:bottom w:val="single" w:sz="4" w:space="7" w:color="000000"/>
        <w:right w:val="none" w:sz="0" w:space="0" w:color="000000"/>
      </w:pBdr>
      <w:spacing w:after="130"/>
    </w:pPr>
  </w:style>
  <w:style w:type="paragraph" w:customStyle="1" w:styleId="Autor">
    <w:name w:val="Autor"/>
    <w:basedOn w:val="Standard"/>
    <w:rPr>
      <w:i/>
      <w:iCs/>
    </w:rPr>
  </w:style>
  <w:style w:type="paragraph" w:customStyle="1" w:styleId="Aktion">
    <w:name w:val="Aktion"/>
    <w:basedOn w:val="Standard"/>
    <w:rPr>
      <w:i/>
      <w:iCs/>
    </w:rPr>
  </w:style>
  <w:style w:type="paragraph" w:customStyle="1" w:styleId="EmptySectionRemark">
    <w:name w:val="Empty_Section_Remark"/>
    <w:basedOn w:val="Standard"/>
    <w:rPr>
      <w:i/>
      <w:iCs/>
    </w:rPr>
  </w:style>
  <w:style w:type="paragraph" w:customStyle="1" w:styleId="StandardvorAufzhlung">
    <w:name w:val="Standard vor Aufzählung"/>
    <w:basedOn w:val="Standard"/>
  </w:style>
  <w:style w:type="paragraph" w:customStyle="1" w:styleId="StandardvorTabelle">
    <w:name w:val="Standard vor Tabelle"/>
    <w:basedOn w:val="Standard"/>
  </w:style>
  <w:style w:type="paragraph" w:customStyle="1" w:styleId="StandardvorBild">
    <w:name w:val="Standard vor Bild"/>
    <w:basedOn w:val="Standard"/>
  </w:style>
  <w:style w:type="paragraph" w:customStyle="1" w:styleId="HeaderandFooter">
    <w:name w:val="Header and Footer"/>
    <w:basedOn w:val="Standard"/>
    <w:pPr>
      <w:suppressLineNumbers/>
      <w:tabs>
        <w:tab w:val="clear" w:pos="14854"/>
        <w:tab w:val="center" w:pos="4986"/>
        <w:tab w:val="right" w:pos="9972"/>
      </w:tabs>
    </w:pPr>
  </w:style>
  <w:style w:type="paragraph" w:styleId="Kopfzeile">
    <w:name w:val="header"/>
    <w:pPr>
      <w:widowControl w:val="0"/>
      <w:tabs>
        <w:tab w:val="right" w:pos="14854"/>
      </w:tabs>
      <w:suppressAutoHyphens/>
    </w:pPr>
    <w:rPr>
      <w:rFonts w:ascii="Arial" w:hAnsi="Arial"/>
      <w:sz w:val="18"/>
      <w:lang w:eastAsia="zh-CN" w:bidi="hi-IN"/>
    </w:rPr>
  </w:style>
  <w:style w:type="paragraph" w:styleId="Fuzeile">
    <w:name w:val="footer"/>
    <w:basedOn w:val="Kopfzeile"/>
  </w:style>
  <w:style w:type="paragraph" w:customStyle="1" w:styleId="Erlasstitel">
    <w:name w:val="Erlasstitel"/>
    <w:basedOn w:val="Standard"/>
    <w:next w:val="Datum1"/>
    <w:pPr>
      <w:keepNext/>
      <w:suppressAutoHyphens/>
      <w:spacing w:before="240" w:after="240"/>
    </w:pPr>
    <w:rPr>
      <w:b/>
      <w:sz w:val="24"/>
    </w:rPr>
  </w:style>
  <w:style w:type="paragraph" w:customStyle="1" w:styleId="Datum1">
    <w:name w:val="Datum1"/>
    <w:basedOn w:val="Standard"/>
    <w:next w:val="Autor"/>
    <w:pPr>
      <w:keepNext/>
      <w:pBdr>
        <w:top w:val="none" w:sz="0" w:space="0" w:color="000000"/>
        <w:left w:val="none" w:sz="0" w:space="0" w:color="000000"/>
        <w:bottom w:val="single" w:sz="4" w:space="10" w:color="000000"/>
        <w:right w:val="none" w:sz="0" w:space="0" w:color="000000"/>
      </w:pBdr>
      <w:spacing w:after="240"/>
      <w:ind w:left="28" w:right="28"/>
    </w:pPr>
    <w:rPr>
      <w:position w:val="2"/>
    </w:rPr>
  </w:style>
  <w:style w:type="paragraph" w:customStyle="1" w:styleId="Grundlage">
    <w:name w:val="Grundlage"/>
    <w:basedOn w:val="Standard"/>
    <w:next w:val="Aktion"/>
    <w:pPr>
      <w:spacing w:before="240" w:after="40"/>
    </w:pPr>
  </w:style>
  <w:style w:type="paragraph" w:customStyle="1" w:styleId="Schluss">
    <w:name w:val="Schluss"/>
    <w:basedOn w:val="Standard"/>
    <w:pPr>
      <w:tabs>
        <w:tab w:val="clear" w:pos="14854"/>
        <w:tab w:val="left" w:pos="6124"/>
      </w:tabs>
      <w:spacing w:before="480" w:after="40"/>
      <w:ind w:left="3062" w:hanging="3062"/>
    </w:pPr>
  </w:style>
  <w:style w:type="paragraph" w:customStyle="1" w:styleId="Nebenzitat">
    <w:name w:val="Nebenzitat"/>
    <w:basedOn w:val="Standard"/>
    <w:rPr>
      <w:b/>
    </w:rPr>
  </w:style>
  <w:style w:type="paragraph" w:customStyle="1" w:styleId="Abschnittstitel">
    <w:name w:val="Abschnittstitel"/>
    <w:basedOn w:val="Standard"/>
    <w:pPr>
      <w:keepNext/>
      <w:suppressAutoHyphens/>
    </w:pPr>
    <w:rPr>
      <w:b/>
      <w:sz w:val="22"/>
    </w:rPr>
  </w:style>
  <w:style w:type="paragraph" w:customStyle="1" w:styleId="TitelStufe1">
    <w:name w:val="Titel Stufe 1"/>
    <w:basedOn w:val="Standard"/>
    <w:next w:val="Artikel"/>
    <w:pPr>
      <w:keepNext/>
      <w:suppressAutoHyphens/>
      <w:spacing w:before="360"/>
    </w:pPr>
    <w:rPr>
      <w:b/>
      <w:sz w:val="22"/>
    </w:rPr>
  </w:style>
  <w:style w:type="paragraph" w:customStyle="1" w:styleId="TitelStufe2">
    <w:name w:val="Titel Stufe 2"/>
    <w:basedOn w:val="TitelStufe1"/>
    <w:next w:val="Artikel"/>
    <w:rPr>
      <w:b w:val="0"/>
      <w:i/>
    </w:rPr>
  </w:style>
  <w:style w:type="paragraph" w:customStyle="1" w:styleId="TitelStufe3">
    <w:name w:val="Titel Stufe 3"/>
    <w:basedOn w:val="TitelStufe2"/>
    <w:next w:val="Artikel"/>
  </w:style>
  <w:style w:type="paragraph" w:customStyle="1" w:styleId="TitelStufe4">
    <w:name w:val="Titel Stufe 4"/>
    <w:basedOn w:val="TitelStufe2"/>
    <w:next w:val="Artikel"/>
  </w:style>
  <w:style w:type="paragraph" w:customStyle="1" w:styleId="TitelStufe5">
    <w:name w:val="Titel Stufe 5"/>
    <w:basedOn w:val="TitelStufe2"/>
    <w:next w:val="Artikel"/>
  </w:style>
  <w:style w:type="paragraph" w:customStyle="1" w:styleId="TitelStufe1nachTitel">
    <w:name w:val="Titel Stufe 1 nach Titel"/>
    <w:basedOn w:val="TitelStufe1"/>
    <w:next w:val="Artikel"/>
  </w:style>
  <w:style w:type="paragraph" w:customStyle="1" w:styleId="TitelStufe2nachTitel">
    <w:name w:val="Titel Stufe 2 nach Titel"/>
    <w:basedOn w:val="TitelStufe2"/>
    <w:next w:val="Artikel"/>
  </w:style>
  <w:style w:type="paragraph" w:customStyle="1" w:styleId="TitelStufe3nachTitel">
    <w:name w:val="Titel Stufe 3 nach Titel"/>
    <w:basedOn w:val="TitelStufe3"/>
    <w:next w:val="Artikel"/>
  </w:style>
  <w:style w:type="paragraph" w:customStyle="1" w:styleId="TitelStufe4nachTitel">
    <w:name w:val="Titel Stufe 4 nach Titel"/>
    <w:basedOn w:val="TitelStufe4"/>
    <w:next w:val="Artikel"/>
  </w:style>
  <w:style w:type="paragraph" w:customStyle="1" w:styleId="TitelStufe5nachTitel">
    <w:name w:val="Titel Stufe 5 nach Titel"/>
    <w:basedOn w:val="TitelStufe5"/>
    <w:next w:val="Artikel"/>
  </w:style>
  <w:style w:type="paragraph" w:styleId="Textkrper">
    <w:name w:val="Body Text"/>
    <w:basedOn w:val="Standard"/>
    <w:pPr>
      <w:spacing w:after="140" w:line="276" w:lineRule="auto"/>
    </w:pPr>
  </w:style>
  <w:style w:type="paragraph" w:styleId="Kommentartext">
    <w:name w:val="annotation text"/>
    <w:basedOn w:val="Standard"/>
    <w:pPr>
      <w:keepNext/>
      <w:spacing w:line="144" w:lineRule="exact"/>
    </w:pPr>
    <w:rPr>
      <w:sz w:val="14"/>
    </w:rPr>
  </w:style>
  <w:style w:type="paragraph" w:customStyle="1" w:styleId="Artikel">
    <w:name w:val="Artikel"/>
    <w:basedOn w:val="Standard"/>
    <w:next w:val="Standard"/>
    <w:pPr>
      <w:keepNext/>
      <w:tabs>
        <w:tab w:val="clear" w:pos="14854"/>
        <w:tab w:val="left" w:pos="1360"/>
      </w:tabs>
      <w:spacing w:before="240" w:after="60"/>
      <w:ind w:left="680" w:hanging="680"/>
    </w:pPr>
  </w:style>
  <w:style w:type="paragraph" w:customStyle="1" w:styleId="Artikelaufgehoben">
    <w:name w:val="Artikel (aufgehoben)"/>
    <w:basedOn w:val="Artikel"/>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Liste1">
    <w:name w:val="Liste 1"/>
    <w:basedOn w:val="Standard"/>
    <w:pPr>
      <w:ind w:left="340" w:hanging="340"/>
    </w:pPr>
  </w:style>
  <w:style w:type="paragraph" w:customStyle="1" w:styleId="Liste1mitaufeinanderfolgendenAufhebungen">
    <w:name w:val="Liste 1 mit aufeinanderfolgenden Aufhebungen"/>
    <w:basedOn w:val="Liste1"/>
  </w:style>
  <w:style w:type="paragraph" w:customStyle="1" w:styleId="Liste1mitUnterelementen">
    <w:name w:val="Liste 1 mit Unterelementen"/>
    <w:basedOn w:val="Liste1"/>
  </w:style>
  <w:style w:type="paragraph" w:customStyle="1" w:styleId="Liste21">
    <w:name w:val="Liste 21"/>
    <w:basedOn w:val="Liste1"/>
    <w:pPr>
      <w:ind w:left="680"/>
    </w:pPr>
  </w:style>
  <w:style w:type="paragraph" w:customStyle="1" w:styleId="Liste2mitaufeinanderfolgendenAufhebungen">
    <w:name w:val="Liste 2 mit aufeinanderfolgenden Aufhebungen"/>
    <w:basedOn w:val="Liste21"/>
  </w:style>
  <w:style w:type="paragraph" w:customStyle="1" w:styleId="Liste31">
    <w:name w:val="Liste 31"/>
    <w:basedOn w:val="Liste21"/>
    <w:pPr>
      <w:ind w:left="1021"/>
    </w:pPr>
  </w:style>
  <w:style w:type="paragraph" w:styleId="Funotentext">
    <w:name w:val="footnote text"/>
    <w:basedOn w:val="Standard"/>
    <w:pPr>
      <w:spacing w:line="188" w:lineRule="exact"/>
      <w:ind w:left="210" w:hanging="21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b.ow.ch/data/630.1/de"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1414</Words>
  <Characters>10147</Characters>
  <Application>Microsoft Office Word</Application>
  <DocSecurity>0</DocSecurity>
  <Lines>84</Lines>
  <Paragraphs>23</Paragraphs>
  <ScaleCrop>false</ScaleCrop>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Frunz Nicole</dc:creator>
  <cp:lastModifiedBy>Frunz Nicole</cp:lastModifiedBy>
  <cp:revision>2</cp:revision>
  <dcterms:created xsi:type="dcterms:W3CDTF">2024-01-30T13:01:00Z</dcterms:created>
  <dcterms:modified xsi:type="dcterms:W3CDTF">2024-01-30T13:01:00Z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Synopse</vt:lpwstr>
  </property>
</Properties>
</file>